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4200" w:right="2820" w:hanging="1424"/>
        <w:spacing w:after="0" w:line="253" w:lineRule="auto"/>
        <w:tabs>
          <w:tab w:leader="none" w:pos="2984"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ind w:left="5540" w:right="3700" w:hanging="1389"/>
        <w:spacing w:after="0" w:line="250" w:lineRule="auto"/>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2024 or</w:t>
      </w:r>
    </w:p>
    <w:p>
      <w:pPr>
        <w:ind w:left="4200" w:right="2620" w:hanging="1609"/>
        <w:spacing w:after="0" w:line="250" w:lineRule="auto"/>
        <w:tabs>
          <w:tab w:leader="none" w:pos="27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920" w:val="left"/>
          <w:tab w:leader="none" w:pos="7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001-33092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LEMAITRE VASCULAR, INC.</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04-2825458</w:t>
            </w:r>
          </w:p>
        </w:tc>
      </w:tr>
      <w:tr>
        <w:trPr>
          <w:trHeight w:val="238"/>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63 Second Avenue, Burlington, Massachusetts</w:t>
            </w:r>
          </w:p>
        </w:tc>
        <w:tc>
          <w:tcPr>
            <w:tcW w:w="37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8"/>
        </w:trPr>
        <w:tc>
          <w:tcPr>
            <w:tcW w:w="56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781-221-2266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3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Securities registered under Section 12(b) of the Act:</w:t>
            </w:r>
          </w:p>
        </w:tc>
        <w:tc>
          <w:tcPr>
            <w:tcW w:w="19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3"/>
        </w:trPr>
        <w:tc>
          <w:tcPr>
            <w:tcW w:w="35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2"/>
          </w:tcPr>
          <w:p>
            <w:pPr>
              <w:spacing w:after="0"/>
              <w:rPr>
                <w:sz w:val="21"/>
                <w:szCs w:val="21"/>
                <w:color w:val="auto"/>
              </w:rPr>
            </w:pPr>
          </w:p>
        </w:tc>
      </w:tr>
      <w:tr>
        <w:trPr>
          <w:trHeight w:val="190"/>
        </w:trPr>
        <w:tc>
          <w:tcPr>
            <w:tcW w:w="3500" w:type="dxa"/>
            <w:vAlign w:val="bottom"/>
            <w:tcBorders>
              <w:left w:val="single" w:sz="8" w:color="auto"/>
              <w:bottom w:val="single" w:sz="8" w:color="auto"/>
            </w:tcBorders>
          </w:tcPr>
          <w:p>
            <w:pPr>
              <w:ind w:left="1220"/>
              <w:spacing w:after="0" w:line="170" w:lineRule="exact"/>
              <w:rPr>
                <w:sz w:val="20"/>
                <w:szCs w:val="20"/>
                <w:color w:val="auto"/>
              </w:rPr>
            </w:pPr>
            <w:r>
              <w:rPr>
                <w:rFonts w:ascii="Times New Roman" w:cs="Times New Roman" w:eastAsia="Times New Roman" w:hAnsi="Times New Roman"/>
                <w:sz w:val="18"/>
                <w:szCs w:val="18"/>
                <w:color w:val="auto"/>
              </w:rPr>
              <w:t>Title of each class</w:t>
            </w:r>
          </w:p>
        </w:tc>
        <w:tc>
          <w:tcPr>
            <w:tcW w:w="22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gridSpan w:val="2"/>
          </w:tcPr>
          <w:p>
            <w:pPr>
              <w:jc w:val="center"/>
              <w:ind w:right="520"/>
              <w:spacing w:after="0" w:line="170" w:lineRule="exact"/>
              <w:rPr>
                <w:sz w:val="20"/>
                <w:szCs w:val="20"/>
                <w:color w:val="auto"/>
              </w:rPr>
            </w:pPr>
            <w:r>
              <w:rPr>
                <w:rFonts w:ascii="Times New Roman" w:cs="Times New Roman" w:eastAsia="Times New Roman" w:hAnsi="Times New Roman"/>
                <w:sz w:val="18"/>
                <w:szCs w:val="18"/>
                <w:color w:val="auto"/>
                <w:w w:val="99"/>
              </w:rPr>
              <w:t>Trading symbol</w:t>
            </w:r>
          </w:p>
        </w:tc>
        <w:tc>
          <w:tcPr>
            <w:tcW w:w="2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gridSpan w:val="2"/>
          </w:tcPr>
          <w:p>
            <w:pPr>
              <w:jc w:val="center"/>
              <w:ind w:right="170"/>
              <w:spacing w:after="0" w:line="170" w:lineRule="exact"/>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93"/>
        </w:trPr>
        <w:tc>
          <w:tcPr>
            <w:tcW w:w="3500" w:type="dxa"/>
            <w:vAlign w:val="bottom"/>
            <w:tcBorders>
              <w:left w:val="single" w:sz="8" w:color="auto"/>
              <w:bottom w:val="single" w:sz="8" w:color="auto"/>
            </w:tcBorders>
          </w:tcPr>
          <w:p>
            <w:pPr>
              <w:ind w:left="360"/>
              <w:spacing w:after="0" w:line="193"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22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gridSpan w:val="2"/>
          </w:tcPr>
          <w:p>
            <w:pPr>
              <w:jc w:val="center"/>
              <w:ind w:right="520"/>
              <w:spacing w:after="0" w:line="193" w:lineRule="exact"/>
              <w:rPr>
                <w:sz w:val="20"/>
                <w:szCs w:val="20"/>
                <w:color w:val="auto"/>
              </w:rPr>
            </w:pPr>
            <w:r>
              <w:rPr>
                <w:rFonts w:ascii="Times New Roman" w:cs="Times New Roman" w:eastAsia="Times New Roman" w:hAnsi="Times New Roman"/>
                <w:sz w:val="18"/>
                <w:szCs w:val="18"/>
                <w:color w:val="auto"/>
                <w:w w:val="97"/>
              </w:rPr>
              <w:t>LMAT</w:t>
            </w:r>
          </w:p>
        </w:tc>
        <w:tc>
          <w:tcPr>
            <w:tcW w:w="24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gridSpan w:val="2"/>
          </w:tcPr>
          <w:p>
            <w:pPr>
              <w:jc w:val="center"/>
              <w:ind w:right="170"/>
              <w:spacing w:after="0" w:line="193" w:lineRule="exact"/>
              <w:rPr>
                <w:sz w:val="20"/>
                <w:szCs w:val="20"/>
                <w:color w:val="auto"/>
              </w:rPr>
            </w:pPr>
            <w:r>
              <w:rPr>
                <w:rFonts w:ascii="Times New Roman" w:cs="Times New Roman" w:eastAsia="Times New Roman" w:hAnsi="Times New Roman"/>
                <w:sz w:val="18"/>
                <w:szCs w:val="18"/>
                <w:color w:val="auto"/>
              </w:rPr>
              <w:t>The Nasdaq Global Market</w:t>
            </w:r>
          </w:p>
        </w:tc>
      </w:tr>
      <w:tr>
        <w:trPr>
          <w:trHeight w:val="425"/>
        </w:trPr>
        <w:tc>
          <w:tcPr>
            <w:tcW w:w="9700" w:type="dxa"/>
            <w:vAlign w:val="bottom"/>
            <w:gridSpan w:val="7"/>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1540" w:type="dxa"/>
            <w:vAlign w:val="bottom"/>
          </w:tcPr>
          <w:p>
            <w:pPr>
              <w:spacing w:after="0"/>
              <w:rPr>
                <w:sz w:val="24"/>
                <w:szCs w:val="24"/>
                <w:color w:val="auto"/>
              </w:rPr>
            </w:pPr>
          </w:p>
        </w:tc>
      </w:tr>
      <w:tr>
        <w:trPr>
          <w:trHeight w:val="270"/>
        </w:trPr>
        <w:tc>
          <w:tcPr>
            <w:tcW w:w="4220" w:type="dxa"/>
            <w:vAlign w:val="bottom"/>
            <w:gridSpan w:val="3"/>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2680" w:type="dxa"/>
            <w:vAlign w:val="bottom"/>
            <w:gridSpan w:val="3"/>
          </w:tcPr>
          <w:p>
            <w:pPr>
              <w:spacing w:after="0"/>
              <w:rPr>
                <w:sz w:val="23"/>
                <w:szCs w:val="23"/>
                <w:color w:val="auto"/>
              </w:rPr>
            </w:pPr>
          </w:p>
        </w:tc>
        <w:tc>
          <w:tcPr>
            <w:tcW w:w="1540" w:type="dxa"/>
            <w:vAlign w:val="bottom"/>
          </w:tcPr>
          <w:p>
            <w:pPr>
              <w:spacing w:after="0"/>
              <w:rPr>
                <w:sz w:val="23"/>
                <w:szCs w:val="23"/>
                <w:color w:val="auto"/>
              </w:rPr>
            </w:pPr>
          </w:p>
        </w:tc>
      </w:tr>
      <w:tr>
        <w:trPr>
          <w:trHeight w:val="508"/>
        </w:trPr>
        <w:tc>
          <w:tcPr>
            <w:tcW w:w="9700" w:type="dxa"/>
            <w:vAlign w:val="bottom"/>
            <w:gridSpan w:val="7"/>
          </w:tcPr>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5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9700" w:type="dxa"/>
            <w:vAlign w:val="bottom"/>
            <w:gridSpan w:val="7"/>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p>
        </w:tc>
        <w:tc>
          <w:tcPr>
            <w:tcW w:w="15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04"/>
        </w:trPr>
        <w:tc>
          <w:tcPr>
            <w:tcW w:w="3500" w:type="dxa"/>
            <w:vAlign w:val="bottom"/>
          </w:tcPr>
          <w:p>
            <w:pPr>
              <w:spacing w:after="0"/>
              <w:rPr>
                <w:sz w:val="24"/>
                <w:szCs w:val="24"/>
                <w:color w:val="auto"/>
              </w:rPr>
            </w:pPr>
          </w:p>
        </w:tc>
        <w:tc>
          <w:tcPr>
            <w:tcW w:w="35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88"/>
              </w:rPr>
              <w:t>1</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4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34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60" w:firstLine="34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Rule12b-2 of the Exchange Act.</w:t>
      </w:r>
    </w:p>
    <w:p>
      <w:pPr>
        <w:sectPr>
          <w:pgSz w:w="11900" w:h="16838" w:orient="portrait"/>
          <w:cols w:equalWidth="0" w:num="1">
            <w:col w:w="11220"/>
          </w:cols>
          <w:pgMar w:left="320" w:top="121" w:right="359" w:bottom="1440" w:gutter="0" w:footer="0" w:header="0"/>
        </w:sectPr>
      </w:pPr>
    </w:p>
    <w:p>
      <w:pPr>
        <w:spacing w:after="0" w:line="135" w:lineRule="exact"/>
        <w:rPr>
          <w:sz w:val="20"/>
          <w:szCs w:val="20"/>
          <w:color w:val="auto"/>
        </w:rPr>
      </w:pPr>
    </w:p>
    <w:p>
      <w:pPr>
        <w:ind w:left="360"/>
        <w:spacing w:after="0" w:line="24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firstLine="158"/>
        <w:spacing w:after="0" w:line="25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8" w:lineRule="exact"/>
        <w:rPr>
          <w:sz w:val="20"/>
          <w:szCs w:val="20"/>
          <w:color w:val="auto"/>
        </w:rPr>
      </w:pPr>
    </w:p>
    <w:p>
      <w:pPr>
        <w:sectPr>
          <w:pgSz w:w="11900" w:h="16838" w:orient="portrait"/>
          <w:cols w:equalWidth="0" w:num="3">
            <w:col w:w="2320" w:space="80"/>
            <w:col w:w="3600" w:space="80"/>
            <w:col w:w="5140"/>
          </w:cols>
          <w:pgMar w:left="320" w:top="121" w:right="359" w:bottom="1440" w:gutter="0" w:footer="0" w:header="0"/>
          <w:type w:val="continuous"/>
        </w:sectPr>
      </w:pPr>
    </w:p>
    <w:p>
      <w:pPr>
        <w:ind w:right="140" w:firstLine="34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20" w:firstLine="34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filed a report on and attestation to its management’s assessment of the effectiveness of its internal control over financial reporting under section 404(b) of the Sarbanes-Oxley Act (15 U.S.C. 7262(b)) by the registered public accounting form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200" w:firstLine="342"/>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400" w:firstLine="342"/>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60"/>
        <w:spacing w:after="0" w:line="207" w:lineRule="exact"/>
        <w:tabs>
          <w:tab w:leader="none" w:pos="7920" w:val="left"/>
          <w:tab w:leader="none" w:pos="86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560" w:firstLine="342"/>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was approximately $1.7 billion computed by reference to the last reported sale price of $82.28 per share as reported by The Nasdaq Global Market as of the last business day of the registrant’s most recently completed second fiscal quarter.</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February 24, 2025, the registrant had 22,558,631 shares of common stock, par value $0.01 per share,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340" w:firstLine="342"/>
        <w:spacing w:after="0" w:line="282" w:lineRule="auto"/>
        <w:rPr>
          <w:sz w:val="20"/>
          <w:szCs w:val="20"/>
          <w:color w:val="auto"/>
        </w:rPr>
      </w:pPr>
      <w:r>
        <w:rPr>
          <w:rFonts w:ascii="Times New Roman" w:cs="Times New Roman" w:eastAsia="Times New Roman" w:hAnsi="Times New Roman"/>
          <w:sz w:val="18"/>
          <w:szCs w:val="18"/>
          <w:color w:val="auto"/>
        </w:rPr>
        <w:t>Part III of this Form 10-K incorporates information by reference from the registrant’s definitive proxy statement to be filed with the Securities and Exchange Commission within 120 days after the close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80" w:type="dxa"/>
            <w:vAlign w:val="bottom"/>
            <w:gridSpan w:val="11"/>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LEMAITRE VASCULAR</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0" w:type="dxa"/>
            <w:vAlign w:val="bottom"/>
            <w:gridSpan w:val="12"/>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2024 ANNUAL REPORT ON FORM 10-K</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20" w:type="dxa"/>
            <w:vAlign w:val="bottom"/>
            <w:gridSpan w:val="10"/>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2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794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17</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68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784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8120" w:type="dxa"/>
            <w:vAlign w:val="bottom"/>
            <w:gridSpan w:val="20"/>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30</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52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30</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08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30</w:t>
            </w:r>
          </w:p>
        </w:tc>
      </w:tr>
      <w:tr>
        <w:trPr>
          <w:trHeight w:val="196"/>
        </w:trPr>
        <w:tc>
          <w:tcPr>
            <w:tcW w:w="1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31</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180" w:type="dxa"/>
            <w:vAlign w:val="bottom"/>
            <w:gridSpan w:val="21"/>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40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450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45</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40" w:type="dxa"/>
            <w:vAlign w:val="bottom"/>
            <w:tcBorders>
              <w:top w:val="single" w:sz="8" w:color="0000EE"/>
            </w:tcBorders>
            <w:gridSpan w:val="11"/>
          </w:tcPr>
          <w:p>
            <w:pPr>
              <w:spacing w:after="0"/>
              <w:rPr>
                <w:sz w:val="17"/>
                <w:szCs w:val="17"/>
                <w:color w:val="auto"/>
              </w:rPr>
            </w:pPr>
          </w:p>
        </w:tc>
        <w:tc>
          <w:tcPr>
            <w:tcW w:w="23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540" w:type="dxa"/>
            <w:vAlign w:val="bottom"/>
            <w:gridSpan w:val="17"/>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r>
      <w:tr>
        <w:trPr>
          <w:trHeight w:val="196"/>
        </w:trPr>
        <w:tc>
          <w:tcPr>
            <w:tcW w:w="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68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76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r>
      <w:tr>
        <w:trPr>
          <w:trHeight w:val="20"/>
        </w:trPr>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5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40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2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Accounting Fees and Services</w:t>
            </w:r>
          </w:p>
        </w:tc>
        <w:tc>
          <w:tcPr>
            <w:tcW w:w="598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r>
      <w:tr>
        <w:trPr>
          <w:trHeight w:val="196"/>
        </w:trPr>
        <w:tc>
          <w:tcPr>
            <w:tcW w:w="1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49</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2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Statements Schedules</w:t>
            </w:r>
          </w:p>
        </w:tc>
        <w:tc>
          <w:tcPr>
            <w:tcW w:w="562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r>
      <w:tr>
        <w:trPr>
          <w:trHeight w:val="196"/>
        </w:trPr>
        <w:tc>
          <w:tcPr>
            <w:tcW w:w="142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730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53</w:t>
            </w:r>
          </w:p>
        </w:tc>
      </w:tr>
      <w:tr>
        <w:trPr>
          <w:trHeight w:val="196"/>
        </w:trPr>
        <w:tc>
          <w:tcPr>
            <w:tcW w:w="1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54</w:t>
            </w:r>
          </w:p>
        </w:tc>
      </w:tr>
      <w:tr>
        <w:trPr>
          <w:trHeight w:val="453"/>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gridSpan w:val="16"/>
          </w:tcPr>
          <w:p>
            <w:pPr>
              <w:jc w:val="center"/>
              <w:ind w:left="3950"/>
              <w:spacing w:after="0"/>
              <w:rPr>
                <w:sz w:val="20"/>
                <w:szCs w:val="20"/>
                <w:color w:val="auto"/>
              </w:rPr>
            </w:pPr>
            <w:r>
              <w:rPr>
                <w:rFonts w:ascii="Times New Roman" w:cs="Times New Roman" w:eastAsia="Times New Roman" w:hAnsi="Times New Roman"/>
                <w:sz w:val="18"/>
                <w:szCs w:val="18"/>
                <w:color w:val="auto"/>
                <w:w w:val="88"/>
              </w:rPr>
              <w:t>3</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All statements other than statements of historical fact contained in this Annual Report on Form 10-K, including, without limitation,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“might,” “should,” “expects,” “plans,” “anticipates,” “will,” “would,” “could,” “intends,” “target,” “projects,”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reasonably believe may affect our business, financial condition, and results of operations. These forward-looking statements speak only as of the date of this Annual Report on Form 10-K and are subject to a number of risks, uncertainties, and assumptions described in the “Risk Factors” section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194" w:lineRule="exact"/>
        <w:rPr>
          <w:sz w:val="20"/>
          <w:szCs w:val="20"/>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medical device companies and alternative medical technologies;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acquire, and integrate acquisitions;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selling prices of our products;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historic levels of profit growth;</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sole- or limited-source suppliers;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our new enterprise resource planning system;</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systems or breaches of our information security systems;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sales call points other than vascular surgeons;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process, and preserve human tissue and comply with relevant regulatory requirements;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disruption in our manufacturing facilities;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risks inherent in operating internationally;</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transition to direct sales models in certain international territories;</w:t>
      </w:r>
    </w:p>
    <w:p>
      <w:pPr>
        <w:spacing w:after="0" w:line="36" w:lineRule="exact"/>
        <w:rPr>
          <w:rFonts w:ascii="Times New Roman" w:cs="Times New Roman" w:eastAsia="Times New Roman" w:hAnsi="Times New Roman"/>
          <w:sz w:val="18"/>
          <w:szCs w:val="18"/>
          <w:color w:val="auto"/>
        </w:rPr>
      </w:pPr>
    </w:p>
    <w:p>
      <w:pPr>
        <w:ind w:left="980" w:right="360" w:hanging="486"/>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our regulatory approvals and compliance with regulatory requirements to market and sell our products both domestically and internationally;</w:t>
      </w:r>
    </w:p>
    <w:p>
      <w:pPr>
        <w:ind w:left="980" w:right="300" w:hanging="486"/>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litigation relating to product liability, employment matters, intellectual property, contract disputes, and other commercial matters;</w:t>
      </w: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product defects or recalls;</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repurchase our debt;</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 conversion of our debt;</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executive officer transitions and retain key personnel;</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our common stock.</w:t>
      </w:r>
    </w:p>
    <w:p>
      <w:pPr>
        <w:spacing w:after="0" w:line="25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any of the forward-looking statements contained in this Annual Report on Form 10-K after the date of this report, except as required by law or the rules and regulations of the U.S. Securities and Exchange Commission, or SEC.</w:t>
      </w:r>
    </w:p>
    <w:p>
      <w:pPr>
        <w:spacing w:after="0" w:line="160"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the related notes contained elsewhere in this Annual Report on Form 10-K and in our other SEC filings.</w:t>
      </w:r>
    </w:p>
    <w:p>
      <w:pPr>
        <w:spacing w:after="0" w:line="158"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indicates otherwise,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LeMaitre,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LeMaitre Vascular,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Annual Report on Form 10-K refer to LeMaitre Vascular, Inc. and its subsidiaries.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LeMaitre, AlboGraft, AnastoClip, AnastoClip GC, Artegraft, Cardial, CardioCel, DuraSure, Eze-Sit, Glow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N Tell, LeverEdge, LifeSpan, OmniFlow, PhasTipp, Pruitt, Pruitt F3, RestoreFlow, Syntel, TufTex, VascuCel, VascuTape, and XenoSure are registered trademarks of LeMaitre Vascular or one of its subsidiaries, and Chevalier and Flexcel are trademarks of LeMaitre Vascular. This Annual Report on Form 10-K also includes the registered and unregistered trademarks of other persons, which are the property of their respective owners. Solely for convenience, trademarks and trade names referred to in this report may appear without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TM symbols.</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LeMaitre Vascular is a global provider of medical devices and human tissue cryopreservation services largely used in the treatment of peripheral vascular disease, end-stage renal disease, and cardiovascular disease. We develop, manufacture, and market vascular devices to address the needs of vascular surgeons and, to a lesser degree, other specialties such as cardiac surgeons, general surgeons, and neurosurgeons. Our diversified portfolio of devices consists of brand name products that are used in arteries and veins and are well known to vascular surgeons. Our principal product offerings are sold globally, primarily in the United States, Europe, Canada and Asia Pacific. We estimate that the annual worldwide market for peripheral vascular devices exceeds $5 billion, within which we estimate that the market for our products is approximately $1 billion.</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sell our products and services primarily through a direct sales force. As of December 31, 2024, our sales force comprised 152 sales representatives in North America, Europe, the United Kingdom, or UK, and Asia Pacific, including four export managers. Our worldwide headquarters is located in Burlington, Massachusetts, and we also have a North American sales office in Vaughan, Canada. Our European headquarters is located in Sulzbach, Germany, and we also have European sales offices in Milan, Italy; Madrid, Spain; Hereford, England; Dublin, Ireland; and Maisons-Alfort, France. Our Asia Pacific headquarters is located in Singapore, and we also have Asia Pacific sales offices in Tokyo, Japan; Shanghai, China; Kensington, Australia; Seoul, Korea; and Bangkok, Thailand. During the year ended December 31, 2024, approximately 95% of our net sales were generated in territories in which we employ direct sales representatives. We also sell our products in other countries through distributors.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Peripheral Vascular Disease Market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Based on industry statistics, we estimate that peripheral vascular disease affects more than 200 million people worldwide and that the annual worldwide market for all peripheral vascular devices exceeds $5 billion. The disease encompasses a number of conditions in which the arteries or veins that carry blood to or from the legs, arms, or organs other than the heart become narrowed, obstructed, weakened, or otherwise compromised. In many cases peripheral vascular disease goes undetected, sometimes leading to life-threatening events (including stroke, ruptured aneurysm, and pulmonary embolism) or death. Clinical studies have identified several factors that increase the risk of peripheral vascular disease, including smoking, diabetes, obesity, high blood pressure, lack of exercise, coronary artery disease, high cholesterol, and being over the age of 65. Demographic trends suggest an increase in the prevalence of peripheral vascular disease over time, driven primarily by rising levels of obesity and diabetes and an aging population. We believe that our strong brands, established sales force, suite of peripheral vascular device offerings, and broad network of vascular surgeon customers position us to capture an increasing share of this market.</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Vascular surgeons treat peripheral vascular disease and perform vascular procedures associated with other diseases, such as end-stage renal disease. We estimate that there are more than 22,000 vascular surgeons worldwide. In contrast to other specialists, such as interventional cardiologists and interventional radiologists, vascular surgeons perform both open vascular surgeries and endovascular procedures. Open vascular surgery involves opening the body, cutting vessels, and suturing. Endovascular procedures typically are minimally invasive, catheter-based, and treat vessels from within using real-time imaging. We estimate that in 2024, over 95% of our net sales were from devices used in open surgical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grown our business by using a three-pronged strategy: 1) pursuing a focused call point, 2) competing for sales of low-rivalry, niche products, and 3) expanding our worldwide direct sales force while acquiring complementary devices. We have used acquisitions as a primary means of further penetrating the peripheral vascular device market, and we expect to continue this strategy in the future. We currently manufacture most of our products in our Burlington, Massachusetts headquarters.</w:t>
      </w:r>
    </w:p>
    <w:p>
      <w:pPr>
        <w:spacing w:after="0" w:line="176" w:lineRule="exact"/>
        <w:rPr>
          <w:sz w:val="20"/>
          <w:szCs w:val="20"/>
          <w:color w:val="auto"/>
        </w:rPr>
      </w:pPr>
    </w:p>
    <w:p>
      <w:pPr>
        <w:ind w:left="980" w:hanging="486"/>
        <w:spacing w:after="0" w:line="259"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Focused call point. </w:t>
      </w:r>
      <w:r>
        <w:rPr>
          <w:rFonts w:ascii="Times New Roman" w:cs="Times New Roman" w:eastAsia="Times New Roman" w:hAnsi="Times New Roman"/>
          <w:sz w:val="18"/>
          <w:szCs w:val="18"/>
          <w:color w:val="auto"/>
        </w:rPr>
        <w:t>We have historically directed our product offering and selling efforts towards the vascular surgeon, and estimate that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approximately 80% of our sales were from devices and cryopreserved tissue used by vascular surgeons. As vascular surgeons typically perform both open vascular surgeries and endovascular procedures, we sell devices in both the open and endovascular markets to the same end user. More recently we have begun to focus on adjacent market end users, such as cardiac surgeons, who can be served by our devices and tissue processing capabilities.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980" w:right="280" w:hanging="486"/>
        <w:spacing w:after="0" w:line="26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Low rivalry niche segments. </w:t>
      </w:r>
      <w:r>
        <w:rPr>
          <w:rFonts w:ascii="Times New Roman" w:cs="Times New Roman" w:eastAsia="Times New Roman" w:hAnsi="Times New Roman"/>
          <w:sz w:val="18"/>
          <w:szCs w:val="18"/>
          <w:color w:val="auto"/>
        </w:rPr>
        <w:t>We seek to build and maintain leading positions in niche segments, which we define as under $300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worldwide revenue. We believe that the relative lack of focus on these segments by larger competitors, as well as the differentiated features and consistent availability and quality of our products, enable higher selling prices and market share gains.</w:t>
      </w:r>
    </w:p>
    <w:p>
      <w:pPr>
        <w:spacing w:after="0" w:line="170" w:lineRule="exact"/>
        <w:rPr>
          <w:rFonts w:ascii="Times New Roman" w:cs="Times New Roman" w:eastAsia="Times New Roman" w:hAnsi="Times New Roman"/>
          <w:sz w:val="18"/>
          <w:szCs w:val="18"/>
          <w:color w:val="auto"/>
        </w:rPr>
      </w:pPr>
    </w:p>
    <w:p>
      <w:pPr>
        <w:ind w:left="980" w:right="160" w:hanging="486"/>
        <w:spacing w:after="0" w:line="254"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 sales force expansion and the addition of complementary products. </w:t>
      </w:r>
      <w:r>
        <w:rPr>
          <w:rFonts w:ascii="Times New Roman" w:cs="Times New Roman" w:eastAsia="Times New Roman" w:hAnsi="Times New Roman"/>
          <w:sz w:val="18"/>
          <w:szCs w:val="18"/>
          <w:color w:val="auto"/>
        </w:rPr>
        <w:t>We sell our products primarily through a direct sales force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 America, Europe and Asia Pacific. We ended 2024 with 152 direct sales representatives, including four export managers. We believe that direct-to-hospital sales build closer customer relationships, allow for higher selling prices and gross margins, and are not subject to the risk of customer loss related to distributor turnover. In countries where we do not have a direct sales force, we sell our products through distributors. For the year ended December 31, 2024, approximately 95% of our net sales were generated through our direct-to-hospital sales force, and no single hospital customer accounted for more than 2% of our net sales. We intend to further expand and diversify our product offerings and add new technology platforms, mostly through acquisitions. We believe our experience acquiring and integrating product lines and businesses is one of our competitive advantages. We continually evaluate the acquisition of additional product lines and businesses that may be complementary to our product offerings, refine our current product lines or develop new applications for our existing technologies. We also obtain regulatory approvals for our devices and services in new segments and geographies in order to further access the broader peripheral vascular device market and select other markets.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History</w:t>
      </w:r>
    </w:p>
    <w:p>
      <w:pPr>
        <w:spacing w:after="0" w:line="229" w:lineRule="exact"/>
        <w:rPr>
          <w:sz w:val="20"/>
          <w:szCs w:val="20"/>
          <w:color w:val="auto"/>
        </w:rPr>
      </w:pPr>
    </w:p>
    <w:p>
      <w:pPr>
        <w:ind w:right="360" w:firstLine="324"/>
        <w:spacing w:after="0" w:line="312" w:lineRule="auto"/>
        <w:rPr>
          <w:sz w:val="20"/>
          <w:szCs w:val="20"/>
          <w:color w:val="auto"/>
        </w:rPr>
      </w:pPr>
      <w:r>
        <w:rPr>
          <w:rFonts w:ascii="Times New Roman" w:cs="Times New Roman" w:eastAsia="Times New Roman" w:hAnsi="Times New Roman"/>
          <w:sz w:val="17"/>
          <w:szCs w:val="17"/>
          <w:color w:val="auto"/>
        </w:rPr>
        <w:t>We were founded in 1983 by George D. LeMaitre, M.D., a vascular surgeon who designed and developed the LeMaitre Valvulotome. Through a combination of 24 complementary acquisitions as well as research and development, we have expanded our portfolio to twelve different product types: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20" w:type="dxa"/>
            <w:vAlign w:val="bottom"/>
          </w:tcPr>
          <w:p>
            <w:pPr>
              <w:spacing w:after="0"/>
              <w:rPr>
                <w:sz w:val="20"/>
                <w:szCs w:val="20"/>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Key Product(s) and Services</w:t>
            </w:r>
          </w:p>
        </w:tc>
      </w:tr>
      <w:tr>
        <w:trPr>
          <w:trHeight w:val="209"/>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VascuTape</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Radiopaque tape manufacturing operations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TufTex</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Embolectomy catheters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Pruitt F3 Shunt</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Carotid shunts, balloon catheters, and laparoscopic cholecystectomy devices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Credent</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Polycarbonate grafts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AnastoClip</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Vessel closure systems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Endomed</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Stent grafts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LeverEdge</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Contrast injector</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MollRing Cutter</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Remote endarterectomy devices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UnBalloon</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Stent graft modeling catheters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AlboGraft</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Polyester grafts and patches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LifeSpan</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ePTFE grafts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XenoSure</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Biologic patches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Pruitt F3-S Shunt</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Carotid shunts and embolectomy catheters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TRIVEX</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Powered phlebectomy system</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Omniflow II</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Biosynthetic grafts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PeriVu</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Angioscopes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Eze-Sit OUS</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Valve cutters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ProCol</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Biologic grafts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RestoreFlow</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Human tissue cryopreservation services</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Syntel</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Embolectomy catheters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Cardial</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Polyester grafts, valve cutters, surgical glue</w:t>
            </w:r>
          </w:p>
        </w:tc>
      </w:tr>
      <w:tr>
        <w:trPr>
          <w:trHeight w:val="216"/>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Eze-Sit US</w:t>
            </w:r>
          </w:p>
        </w:tc>
        <w:tc>
          <w:tcPr>
            <w:tcW w:w="120" w:type="dxa"/>
            <w:vAlign w:val="bottom"/>
          </w:tcPr>
          <w:p>
            <w:pPr>
              <w:spacing w:after="0"/>
              <w:rPr>
                <w:sz w:val="18"/>
                <w:szCs w:val="18"/>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Valve cutters</w:t>
            </w:r>
          </w:p>
        </w:tc>
      </w:tr>
      <w:tr>
        <w:trPr>
          <w:trHeight w:val="216"/>
        </w:trPr>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CardioCel</w:t>
            </w:r>
          </w:p>
        </w:tc>
        <w:tc>
          <w:tcPr>
            <w:tcW w:w="120" w:type="dxa"/>
            <w:vAlign w:val="bottom"/>
            <w:shd w:val="clear" w:color="auto" w:fill="CCEEFF"/>
          </w:tcPr>
          <w:p>
            <w:pPr>
              <w:spacing w:after="0"/>
              <w:rPr>
                <w:sz w:val="18"/>
                <w:szCs w:val="18"/>
                <w:color w:val="auto"/>
              </w:rPr>
            </w:pPr>
          </w:p>
        </w:tc>
        <w:tc>
          <w:tcPr>
            <w:tcW w:w="6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Biologic patches</w:t>
            </w:r>
          </w:p>
        </w:tc>
      </w:tr>
      <w:tr>
        <w:trPr>
          <w:trHeight w:val="234"/>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Artegraft</w:t>
            </w:r>
          </w:p>
        </w:tc>
        <w:tc>
          <w:tcPr>
            <w:tcW w:w="120" w:type="dxa"/>
            <w:vAlign w:val="bottom"/>
          </w:tcPr>
          <w:p>
            <w:pPr>
              <w:spacing w:after="0"/>
              <w:rPr>
                <w:sz w:val="20"/>
                <w:szCs w:val="20"/>
                <w:color w:val="auto"/>
              </w:rPr>
            </w:pPr>
          </w:p>
        </w:tc>
        <w:tc>
          <w:tcPr>
            <w:tcW w:w="6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Biologic grafts</w:t>
            </w:r>
          </w:p>
        </w:tc>
      </w:tr>
    </w:tbl>
    <w:p>
      <w:pPr>
        <w:spacing w:after="0" w:line="17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manufacture most of our devices in-house, having relocated the manufacturing operations of 22 of our 24 acquisitions to our Burlington, Massachusetts headquarters. The human tissue processing and cryopreservation operations associated with RestoreFlow allografts occurs in our Fox River Grove, Illinois facility. Artegraft biologic graft production takes place in our North Brunswick, New Jersey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portfolio of product lines is primarily used to treat vascular disease, of which most are used in open vascular surgery and dialysis access. We also offer human vascular and cardiac tissue cryopreservation services. No single product line accounted for more than 20% of our revenues in 2024, 2023, or 2022.</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product offerings include a suite of biologic products. These offerings include the XenoSure patch (bovine pericardium), CardioCel and VascuCel patches (bovine pericardium), Artegraft (bovine carotid artery), Omniflow II biosynthetic graft (ovine tissue and synthetic mesh), RestoreFlow allograft cryopreservation services (human cadaveric tissue), and cardiovascular patches (porcine extracellular matrix) that we distribute for Elutia Inc. These biologic offerings represented 52% of our sales in 2024, 51% of our sales in 2023, and 49% of our sales in 2022.</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Allografts</w:t>
      </w:r>
    </w:p>
    <w:p>
      <w:pPr>
        <w:spacing w:after="0" w:line="229"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Through our RestoreFlow allograft business, we provide human cadaver tissue cryopreservation services, in particular the processing and cryopreservation of veins, arteries, and cardiac valved conduits. Our RestoreFlow allografts are cryopreserved human tissue grafts, including saphenous veins, femoral veins and arteries, aorta and iliac arteries, aortic and pulmonary valved conduits, and pulmonary patches. These allografts are used in a variety of vascular reconstructions such as peripheral bypass, hemodialysis access, and aortic infections, as well as in cardiac repair and reconstruction.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Balloon Catheters for Embolectomy and Thrombectomy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TufTex and Syntel lines of embolectomy catheters are used to remove blood clots from arteries. We sell single-lumen latex and latex-free embolectomy catheters, as well as dual-lumen latex and latex-free embolectomy catheters. The dual-lumen embolectomy catheters enable clot removal and simultaneous irrigation or guide-wire trackability. Our Syntel thrombectomy catheter features a silicone balloon and is designed for removing thrombi in the venous system.</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Balloon Catheters for Occlusion and Perfusion</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occlusion catheters temporarily occlude blood flow to allow the surgeon time and space to complete a procedure. Perfusion catheters perfuse blood and other fluids into the vasculature. Our Pruitt line of occlusion and perfusion catheters reduces vessel trauma by using internal balloon fixation rather than traditional external clamping.</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Bovine Grafts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Artegraft biologic graft is a bovine carotid artery used primarily for dialysis access. Its biological fibrous matrix is processed to enhance long-term patency and provide a cross-linked conduit that is flexible and compliant. Artegraft is also indicated for lower extremity bypass.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Cardiac and Vascular Patches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XenoSure biologic patches are made from bovine pericardium and are used primarily for closure of vessels after surgical intervention.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VascuCel and CardioCel biologic patches are acellular, collagen bioscaffolds with optimized biocompatibility and minimal aldehyde toxicity.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bovine pericardium patches are used in vessel repair as well as heart repair and reconstruction, including neonatal repairs.</w:t>
      </w:r>
    </w:p>
    <w:p>
      <w:pPr>
        <w:spacing w:after="0" w:line="20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cardiovascular patches that we distribute for Elutia are made of an extracellular matrix designed to decrease inflammation and stimulate the formation of healthy tissue. These porcine patches are used in heart repair as well as vessel repair and reconstruction, including neonatal repairs.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Carotid Shunts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Pruitt F3 and Flexcel carotid shunts are used to temporarily shunt blood to the brain while the surgeon removes plaque during carotid endarterectomy surgery. Our Pruitt F3 shunt features internal balloon fixation. Our Flexcel shunt is a non-balloon shunt offered for surgeons who prefer external fixation.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Closure Systems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AnastoClip AC and AnastoClip GC closure systems attach vessels to one another with titanium clips instead of sutures. These closure systems create an interrupted anastomosis that expands and contracts as the vessel pulses. The AnastoClip AC and AnastoClip GC closure systems also enable dura closure in neuro applications.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Ovine Vascular Grafts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Omniflow II biosynthetic vascular graft is a composite of cross-linked ovine collagen with a polyester mesh endoskeleton. It is indicated for lower extremity bypass and dialysis access.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Polyester Vascular Grafts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AlboGraft and Cardial vascular grafts are collagen-impregnated polyester woven and knitted grafts used to bypass or replace diseased arteries.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prostheses are available in straight tube and bifurcated versions.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Phlebectomy System</w:t>
      </w:r>
    </w:p>
    <w:p>
      <w:pPr>
        <w:spacing w:after="0" w:line="229"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Our PhasTIPP Powered Phlebectomy System is indicated for use in phlebectomy procedures for resection and ablation of varicose veins. The illuminator is also indicated for use without the resector for visualization of varicose veins and infusion of tumescent solution during an ambulatory phlebectomy case.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ePTFE Vascular Grafts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LifeSpan vascular graft is an expanded polytetrafluoroethylene (ePTFE) graft used to bypass or replace diseased arteries and to create dialysis access sites. LifeSpan is available in both regular and thin wall options with optional full or partial external spiral support. Our stepped and tapered LifeSpan grafts are designed to reduce the risk of steal syndrome and high cardiac output.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Radiopaque Tape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VascuTape radiopaque tape is a flexible, medical-grade tape with centimeter or millimeter markings printed with a proprietary radiopaque ink which is visible to the eye and an x-ray machine or fluoroscope. VascuTape is applied to the skin and provides surgeons and interventionalists with a simple way to cross-reference between the inside and the outside of a patient’s body.</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Valvulotomes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valvulotomes cut or disrupt valves in the saphenous vein, a vein that runs from the foot to the groin, so the vein can be repurposed as an artery to carry blood past diseased arteries to the lower leg or foot. We believe our valvulotomes reduce costs for hospitals by enabling lower extremity bypass surgery to be performed with several small incisions rather than one continuous ankle-to-groin incision, thereby reducing hospital stays and wound complications.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employed 152 sales representatives, including four export managers. We believe the expansion of our sales force has been a key success factor, and it remains one of our primary long-term strategies. Approximately 95% of 2024 net sales occurred in territories in which we employ sales representatives. Outside our direct markets, we generally sell our products through country-specific distributors.</w:t>
      </w:r>
    </w:p>
    <w:p>
      <w:pPr>
        <w:spacing w:after="0" w:line="17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marketing efforts include direct mail, digital marketing, and exhibitions at medical congresses, which we believe are important to our brand development. We believe that marketing allows us to connect with vascular surgeons who are beyond the reach of our direct sales force.</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also provide training to our vascular surgeons on specific procedures including in situ bypass, AV access, carotid endarterectomy, and interrupted anastomosis, as well as a general surgical skills training program targeting less-experienced doctors.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Our research and development efforts are comprised of regulatory and clinical work, process engineering, manufacturing transfers and product development. More recently, we have focused our research and development efforts on cardiac allograft and next-generation powered phlebectomy projects. The PhasTIPP Powered Phlebectomy System was launched in the U.S. in the first half of 2024.</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Manufacturing transfers have become a significant portion of our research and development spend. In 2022, we completed the relocation work for the Omniflow II product line and were granted approval to market devices manufactured in Burlington in the European Union, or EU. In 2024, the CardioCel and VascuCel transfer to Burlington was completed and we began marketing these Burlington-manufactured devices in the United States, Canada and portions of Asia Pacific.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In 2017 the EU adopted European Medical Device Regulation (2017/745), or MDR, which replaced the European Medical Devices Directive (93/42/EC as amended by 2007/47/EC), or MDD, and became effective as of May 26, 2021. After this date, our MDD certificates then in effect remained valid until their expiration dates in 2027 and 2028, depending on their classifications. Our products will eventually be subject to the MDR, which require all of our products, regardless of classification, to obtain a new Conformité Européenne, or CE, mark in accordance with the new, more stringent, standards.</w:t>
      </w:r>
    </w:p>
    <w:p>
      <w:pPr>
        <w:spacing w:after="0" w:line="16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July 2024, we received MDR CE marks enabling the continued sale of ten devices into the EU. Previously we had obtained four MDR CE marks. In January 2025, we received MDR CE marks to market Burlington-manufactured CardioCel and VascuCel devices in the EU. In total, we expect to receive 23 MDR CE marks by the end of 2025.</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direct our process engineering efforts toward improving manufacturing efficiencies to improve quality and increase our gross margin. In 2022, we began the review and update of the manufacturing process of our Artegraft product line in an effort to apply for its MDR CE mark. We applied for the CE mark in December 2023. We anticipate CE mark approval in the first half of 2025. In addition, in 2024 we made a significant investment in our allograft preservation services business, constructing, validating and putting into service a new cleanroom. This investment was done in order to support the application of allograft tissue distribution in Germany. We will also pursue approvals for allograft preservation services in Ireland in 2025.</w:t>
      </w:r>
    </w:p>
    <w:p>
      <w:pPr>
        <w:spacing w:after="0" w:line="183"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Our regulatory and clinical efforts have historically been focused on obtaining and maintaining regulatory approvals in various geographies. In the past, we have typically not conducted clinical trials as we have usually acquired product lines with established regulatory approvals. In addition, we preferred to avoid the time, expense, and risk associated with initiating clinical trials. However, increasing regulatory requirements in many geographies have resulted in the need for more clinical testing. As such, this component of our research and development spending has increased in recent years. In 2017, we initiated clinical trials in an effort to obtain the approval of our XenoSure patch in China for cardiac and vascular indications. We received approval to market XenoSure with the cardiac indication in China in December 2024. We expect to submit the vascular indication application to the Chinese National Medical Products Administration, or NMPA,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Processing</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Our primary manufacturing facilities are located in Burlington, Massachusetts. We also have facilities in North Brunswick, New Jersey where Artegraft is produced, and Fox River Grove, Illinois where RestoreFlow allografts are processed.</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Historically, our strategy has been to transfer manufacturing of most acquired product lines into our Burlington operations. In 2021, we completed the construction of an additional biologic cleanroom for the manufacturing of CardioCel and VascuCel. In 2022, we expanded the footprint of our main Burlington cleanroom and raw materials warehouse by approximately 40% in an effort to accommodate increased production and a direct labor hiring surge. In 2024, we completed the transfer of our manufacturing of CardioCel and VascuCel into Burlington. We believe these cleanroom expansions and product transfers will increase efficiency.</w:t>
      </w:r>
    </w:p>
    <w:p>
      <w:pPr>
        <w:spacing w:after="0" w:line="183"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Additionally, in 2024 we successfully added cleanroom facilities in Fox River Grove, Illinois to support the growth of our RestoreFlow allograft product line. This expansion was intended to meet the stringent GMP Annex I standards. The enhanced cleanroom capacity enables us to better access markets outside of North America.</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manufacture certain proprietary components, assemble most of our devices ourselves, and inspect, test, and package all of our finished products. By manufacturing products from raw materials and assembling and testing as many of our products as practical, we believe we can maintain better quality control, ensure compliance with applicable regulatory standards, limit outside access to our proprietary technology, ensure adequate product supply, and make design modifications quickly. We have custom-designed proprietary manufacturing and processing equipment and have developed proprietary enhancements for existing production machinery. Our products are built to stock.</w:t>
      </w:r>
    </w:p>
    <w:p>
      <w:pPr>
        <w:spacing w:after="0" w:line="183"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process and cryopreserve human tissue provided to us by qualified U.S. tissue procurement organizations. Donated human tissue is procured from deceased donors by these organizations. We have strict specifications relating to the physical condition and characteristics of the tissue and donor, as well as the donors’ medical history.</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management information systems provide us with the ability to evaluate our performance, collect business intelligence, and make better strategic decisions. These systems include customer relationship management, order entry, invoicing, on-line inventory management, lot traceability, purchasing, shop floor control, shipping and distribution analysis, as well as various accounting-oriented functions. These systems enable us to track our products from order inception to manufacturing and then to delivery to our customers.</w:t>
      </w:r>
    </w:p>
    <w:p>
      <w:pPr>
        <w:spacing w:after="0" w:line="180"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We purchase certain components from, and have certain product lines manufactured by, third parties. Most of our components are readily available from several supply sources, but we do rely on single- and limited-source suppliers for several key components or products. We do not have contractual arrangements with many suppliers and manufacturers, and we order supplies and products as-needed. There are relatively few, or in some cases no, alternative, validated sources for some supplies, products or components. At any time, our suppliers could discontinue or become incapable of manufacturing these materials on acceptable terms. Identifying and qualifying additional or replacement suppliers, if required, may not be accomplished quickly or at all and could involve significant costs. To date, we have not experienced any significant supply disruptions.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Assurance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Burlington and North Brunswick manufacturing facilities have been certified to ISO 13485 standards, which enables us to provide high-quality products and satisfy regulatory requirements of the EU, Canada, and other foreign jurisdictions. Our Fox River Grove, Illinois facility has been accredited by the American Association of Tissue Banks for the processing, storage and distribution of cardiac and vascular tissue for transplantation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of our manufacturing and processing facilities are subject to periodic inspections by various regulatory authorities and notified bodies, independent organizations that assess products to ensure they meet legal requirements before they are put on the market, to ensure compliance with regulatory requirements. See “Government Regulation” for further information. During 2023, we underwent seven regulatory audits and eighteen internal audits. There were no material findings. During this same period, we had one class II recall in Europe that was related to a manufacturing process and one class 3 recall in the United States related to a supply process. Neither recall involved a patient injury. During 2024, we underwent five regulatory audits and fourteen internal audits. There were no material findings.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segments in which we compete are characterized by periodic change resulting from technological advances and scientific discoveries. No one company competes against all of our product lines; rather, we compete with a range of companies. Notable larger competitors include Abbott; Baxter; Artivion; Becton, Dickinson; Edwards Lifesciences; Getinge; LifeNet Health; Terumo; and W. L. Gore.</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technological, research and development, regulatory, marketing, sales, and personnel resources than we do. Certain competitors are able to manufacture at lower costs and may therefore offer their products at lower prices, especially polyester and ePTFE vascular grafts. Certain competitors may also have greater experience in developing and improving products, obtaining regulatory approvals, and manufacturing and marketing such products. In the case of allografts, certain competitors may have an advantage in sourcing tissue. Additionally, some of our competitors may obtain patent protection or regulatory approval or clearance, or achieve product commercialization before us, which could adversely affect our business.</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products relies on effective in-person support as well as superior technology, quality, availability, reliability, ease of use, cost-effectiveness, physician familiarity, and brand recognition. While we also compete on the basis of price, our more technologically advanced products are often sold at higher prices. Our continued success may depend on our ability to broaden and optimize our direct sales channel, acquire complementary vascular devices, obtain regulatory and reimbursement approvals, maintain sufficient inventory, and retain skilled personnel.</w:t>
      </w:r>
    </w:p>
    <w:p>
      <w:pPr>
        <w:spacing w:after="0" w:line="180"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We also compete on the basis of procedure type. The treatment of peripheral vascular disease has experienced a shift from open vascular surgery towards minimally invasive endovascular procedures, and most of our products are used primarily in open vascular surgery. Thus, our ability to compete effectively relies on keeping pace with product offerings in the vascular device market, as well as in the minimally invasive endovascular market.</w:t>
      </w:r>
    </w:p>
    <w:p>
      <w:pPr>
        <w:spacing w:after="0" w:line="15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products are used to treat peripheral vascular disease, renal disease, diabetes, and other related illnesses. The market for our products and services is competitive and affected by new product introductions and activities of other industry participants, including the introduction of novel products and therapies.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success is dependent, to a certain extent, on our development and maintenance of proprietary technologies. We rely on a combination of trade secret laws, patents, trademarks and confidentiality to protect our intellectual property rights.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a limited portfolio of patents in the United States, and our issued U.S. patents are set to expire through 2031.</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brands have also been an important factor in our success. We rely on common law and registered trademarks to protect our brands. Some of our registered trademarks include LeMaitre, Artegraft, XenoSure, Pruitt, VascuTape, Glow ‘N Tell and RestoreFlow, each of which is registered in the United States, the EU, or both, and in certain cases in other foreign countries.</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Most of our products are not protected by patents. Patent protection is not available when we acquire a commercialized product that is not patented, such as the Artegraft biologic graft. In the past, other companies have independently developed or otherwise acquired comparable or substantially equivalent proprietary information and techniques, and there can be no assurance that others will not do so in the future. Separately, we require employees and consultants to sign confidentiality agreements. These confidentiality agreements require employees to assign to us all rights to any inventions made or conceived during their employment with us. We also generally require our consultants to assign to us any inventions made during their engagement. There can be no assurance, however, that these agreements will provide meaningful protection or adequate remedies.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laws of foreign countries often do not protect our proprietary rights to the same extent as do U.S. laws, and we may experience more difficulty enforcing our proprietary rights in certain foreign jurisdictions.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1A. Risk Factors” for a description of certain risks associated with our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Medical devices and human tissues are subject to regulation by the U.S. Food and Drug Administration, or FDA, and other federal and state authorities and foreign governments.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 Regulation of Medical Devices</w:t>
      </w:r>
    </w:p>
    <w:p>
      <w:pPr>
        <w:spacing w:after="0" w:line="22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Most of our products are medical devices subject to extensive regulation by the FDA under 21 U.S. Code Chapter 9, the Federal Food, Drug, and Cosmetic Act, or the FDCA. FDA regulations govern, among other things, product development, testing, manufacturing, packaging, labeling, storage, clearance or approval, advertising and promotion, sales and distribution, and import and export.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Premarket Pathways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Most medical devices must receive either 510(k) clearance or premarket application, or PMA, approval from the FDA prior to commercial distribution. Devices deemed to pose relatively less risk are placed in either Class I or II, which requires the manufacturer to submit a premarket notification requesting permission for commercial distribution; this is known as 510(k) clearance. Some low-risk devices are exempted from this requirement. Class II devices may be subject to special controls, such as performance standards and FDA guidelines that are not applied to Class I devices. Devices deemed by the FDA to pose the greatest risk, such as life-sustaining, life-supporting, or implantable devices, or devices deemed not substantially equivalent to a previously 510(k)-cleared device or to a pre-amendment Class III device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one in commercial distribution before May 28, 1976) for which PMA applications have not been called, are placed in Class III, which generally requires PMA approval. In all cases, a user fee is required for 510(k) submissions and PMA applications.</w:t>
      </w:r>
    </w:p>
    <w:p>
      <w:pPr>
        <w:spacing w:after="0" w:line="188"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510(k) Clearance. </w:t>
      </w:r>
      <w:r>
        <w:rPr>
          <w:rFonts w:ascii="Times New Roman" w:cs="Times New Roman" w:eastAsia="Times New Roman" w:hAnsi="Times New Roman"/>
          <w:sz w:val="18"/>
          <w:szCs w:val="18"/>
          <w:color w:val="auto"/>
        </w:rPr>
        <w:t>To obtain 510(k) clearance, a manufacturer must submit a premarket notification demonstrating that the proposed device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equivalent in intended use and performance to a “predicate device”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previously 510(k)-cleared Class I or Class II device or a pre-amendment Class III device). The FDA’s 510(k) clearance pathway usually takes from three to twelve months. In reviewing a 510(k) clearance, the FDA may request additional information, including clinical data. Nearly all of our devices sold in the United States have 510(k) clearance, with the exception of our Artegraft biologic vascular graft.</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major change as specified by FDA guidelines, requires a new 510(k) clearance. The FDA requires each manufacturer to make this determination, but the FDA can review any such decision. If the FDA disagrees with a manufacturer’s decision not to seek a new 510(k) clearance, the agency may require a new 510(k) clearance. The FDA also can require the manufacturer to cease marketing and/or recall the modified device until 510(k) clearance is obtained.</w:t>
      </w:r>
    </w:p>
    <w:p>
      <w:pPr>
        <w:spacing w:after="0" w:line="176"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PMA Approval. </w:t>
      </w:r>
      <w:r>
        <w:rPr>
          <w:rFonts w:ascii="Times New Roman" w:cs="Times New Roman" w:eastAsia="Times New Roman" w:hAnsi="Times New Roman"/>
          <w:sz w:val="18"/>
          <w:szCs w:val="18"/>
          <w:color w:val="auto"/>
        </w:rPr>
        <w:t>The PMA approval pathway requires proof of the safety and effectiveness of the proposed device to the FDA’s satisfaction, making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pathway more costly, lengthy, and uncertain. A PMA application must provide preclinical and clinical trial data, as well as information about the device and its components regarding device design, manufacturing, and labeling. As part of the PMA review, the FDA will often inspect the manufacturer’s facilities for compliance with the Quality System Regulation, or QSR.</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the FDA approves a PMA, the approved indications or claims may be more limited than those sought. The PMA can include post-approval conditions to ensure the safety and effectiveness of the device including, among other things, restrictions on labeling, promotion, sale, and distribution. The FDA may also impose requirements for post-market studies or registries. Failure to comply with the conditions of approval can result in material adverse enforcement action, including the loss or withdrawal of the approval. Even after approval of a PMA, a new PMA or PMA supplement can be required if the device or its labeling or manufacturing process are modified. Supplements to a PMA can require the submission of the same type of information required for an original PMA, though the supplement is generally limited to that information needed to support the proposed change.</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Trials. </w:t>
      </w:r>
      <w:r>
        <w:rPr>
          <w:rFonts w:ascii="Times New Roman" w:cs="Times New Roman" w:eastAsia="Times New Roman" w:hAnsi="Times New Roman"/>
          <w:sz w:val="18"/>
          <w:szCs w:val="18"/>
          <w:color w:val="auto"/>
        </w:rPr>
        <w:t>A clinical trial is typically required to support a PMA application and is sometimes required to support 510(k) clearance. In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cases, smaller feasibility studies may precede a more comprehensive, pivotal Investigational Device Exemption, or IDE, clinical trial. All clinical studies of investigational devices must be conducted in compliance with the FDA’s requirements. If an investigational device could pose a significant risk to patients, the FDA must approve an IDE application. A non-significant risk device does not always require an IDE submission to the FDA, however, both significant risk and non-significant risk investigational devices require approval from institutional review boards, or IRBs, at the study centers. The FDA and the IRB may suspend a clinical trial at any time. During a study, the investigators must obtain patient informed consent, follow the investigational plan and study protocol, control the disposition of investigational devices, and comply with all reporting and record-keeping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Although the QSR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FDA may impose with respect to manufacturing.</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Historically, our devices have been introduced into the U.S. market using 510(k) clearance. We have not used the PMA process for any products that we currently market or sell in the United States, other than our Artegraft vascular grafts, which had PMA approval at the time of the acquisition.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a device is placed on the market, regardless of the classification or premarket pathway, significant regulatory requirements apply, including:</w:t>
      </w:r>
    </w:p>
    <w:p>
      <w:pPr>
        <w:spacing w:after="0" w:line="225"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manufacturing establishment registration and device listing with the FDA;</w:t>
      </w:r>
    </w:p>
    <w:p>
      <w:pPr>
        <w:spacing w:after="0" w:line="252"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compliance, which requires finished device manufacturers and contract manufacturers to follow design, testing, control, documentation, and other quality assurance procedures;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uses and other requirements related to promotional activities;</w:t>
      </w:r>
    </w:p>
    <w:p>
      <w:pPr>
        <w:spacing w:after="0" w:line="161"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report to the FDA if their device may have caused or contributed to a death or serious injury;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corrections and removal reporting regulations, which require that manufacturers report to the FDA any field corrections and product recalls or removals if undertaken to reduce a risk to health posed by the device.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inspection and marketing surveillance by the FDA to determine our compliance with regulatory requirements. The most recent FDA inspection of our Burlington facility was in May 2023, the results of which yielded one observation that was subsequently addressed. Non-compliance with FDA requirements can result in, among other things, public warning letters, fines, injunctions, civil penalties, recall or seizure of products, total or partial suspension of production, failure of the FDA to grant marketing approvals, withdrawal of marketing approvals, and criminal prosecutions. In the event that one of our suppliers fails to maintain compliance with our quality requirements as described above, we may have to qualify a new supplier and could experience manufacturing delays.</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participate in the Medical Device Single Audit Program, or MDSAP, which allows manufacturers to undergo a universal quality system audit that is accepted in the United States, Japan, Australia, Canada and Brazil in lieu of individual audits by each regulator. Maintenance of this certification is a requirement to sell in certain geographies, including Canada. Failure to maintain this certification in good standing could result in suspension of our sales efforts in Canada or the other geographies. Our last MDSAP audit was in July 2024 and the audit results were deemed satisfactory by SGS, our notified body. Additionally, our New Jersey facility underwent its first MDSAP audit in October 2024 and received certification in January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International sales of medical devices manufactured in the U.S. that are not approved or cleared by the FDA are subject to FDA export requirements.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exporting unapproved products to a foreign country, we must comply with the FDA’s exporting procedures.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 of Medical Devices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Sales of medical devices are subject to regulatory requirements in many countries. The regulatory review process may vary from country to country. The EU and UK have adopted numerous directives and standards relating to medical devices regulating their design, manufacture, clinical trials, labeling, and adverse event reporting, including the MDD, and more recently, the MDR and the UK medical device regulations, or UKMDR. Devices that comply with the requirements of the MDD, MDR or UKMDR are entitled to bear a CE mark, or UK Conformity Assessed, or UKCA, mark in the UK, and can be distributed in EU countries, as well as the UK, Iceland, Lichtenstein, Norway, Turkey and Switzerland. Each member state of the EU and the UK has established a “Competent Authority” to apply the directive/regulations in its territory.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April 2017, the EU adopted the new MDR regulations for medical devices, which replace the MDD and took effect as of May 26, 2021, with a transition period now ending in 2027 and 2028 for most Class II and Class III devices. Our products are subject to the MDR, which requires all of our products, regardless of classification, to obtain a new CE mark in accordance with the new, more stringent standards under the MDR. As a condition to CE mark approval, clinical evidence from clinical investigations will be required for Class III and implantable devices. As our Notified Bodies continue their transition from MDD to MDR, they have begun to enforce these more rigorous requirements even to maintain the current CE marks. If we fail to obtain new CE marks on any of our other products under the MDR in a timely manner, or at all, future sales of our products in the EU could be adversely impacted. In January 2023, we received our first CE mark under the MDR for our Pruitt F3 Shunt, and in November 2023 we received marks for the XenoSure and Flexcel devices. In 2024, we received additional MDR CE marks covering Albograft, Occlusion Catheters, Embolectomy catheters, valvulotomes, and Omniflow II. We had a supply agreement with Anteris to continue supplying products through January 2025, which has now expired. Our MDR application was also approved in January 2025 for our CardioCel and VascuCel products, which allows us to transition to our Burlington facility for future supply of these products.</w:t>
      </w:r>
    </w:p>
    <w:p>
      <w:pPr>
        <w:spacing w:after="0" w:line="1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MDD and MDR define the essential requirements that devices must meet before being placed on the market, establish procedures for approving a device, and create directives for Competent Authorities. Essential requirements include manufacturing, design, performance, labeling, and safety requirements, and may include providing certain clinical data.</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 manufacturer of low-risk devices typically may demonstrate conformity based on a self-declaration. The European Standardization Committees have adopted numerous harmonized standards for specific types of medical devices. Compliance with relevant standards establishes a presumption of conformity with the essential requirements. Manufacturers of higher-risk devices generally must use a “Notified Body”—an appointed independent third party—to assess conformity. This third-party assessment may consist of an audit of the manufacturer’s quality system and testing of the manufacturer’s devices. An assessment by a Notified Body in one country within the EU is generally required in order to commercially distribute the product. Most of our devices are considered higher-risk devices that require Notified Body assessment.</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MDD and MDR also address advertising and promotion of medical devices, clinical investigations, and requirements for handling adverse events. Post-market surveillance of medical devices is generally conducted on a country-by-country basis; however, the MDD and MDR set forth certain requirements for reporting adverse events. The Medical Device Vigilance system is the mechanism by which adverse event reporting is managed and monitored in the EU.</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UK left the EU on January 31, 2020, commonly referred to as “Brexit”. We opened our Hereford, England office in 2019 largely in response to Brexit. Pursuant to the formal withdrawal arrangements agreed between the UK and the EU, the UK was subject to a transition period until December 31, 2020. After December 31, 2020, medical device manufacturers wishing to import their devices into the UK were provided a transition period for registration of their devices until the end of 2021. We complied with this deadline, and all of our CE marks continue to be recognized in the UK. The UK Medicines and Healthcare Products Regulatory Agency, or MHRA, subsequently announced that CE marking will continue to be recognized in the UK and certificates issued by EU-recognized notified bodies will continue to be valid in the UK market until 2027 and 2028, in alignment with the MDR transition. After this time, all devices marketed in the UK will require UKCA marks certified by a UK “Approved Body.” If we fail to obtain UKCA conformity our sales in the UK could be negatively affected. In January 2023 we received our first UKCA mark for the Pruitt F3 Shunt, and in November 2023 we received our second and third UKCA marks for XenoSure and Flexcel. In 2024 we received additional UKCA marks covering Albograft, Occlusion Catheters, Embolectomy catheters, valvulotomes, and Omniflow II.</w:t>
      </w:r>
    </w:p>
    <w:p>
      <w:pPr>
        <w:spacing w:after="0" w:line="194"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If our products prove to be defective, we can voluntarily recall, or the FDA or international equivalent could require us to recall. If someone is harmed by a malfunction or a product defect, we may experience product liability claims. Any corrective action, voluntary or involuntary, as well as defending ourselves in a lawsuit, will require the dedication of our time and capital. Future recalls or claims could also result in significant costs and adverse publicity.</w:t>
      </w:r>
    </w:p>
    <w:p>
      <w:pPr>
        <w:spacing w:after="0" w:line="15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 some cases, we rely on international distributors or third-party agents to obtain premarket approvals and complete product registrations. In the future, we expect to continue to rely on distributors and agents in this manner where appropriate.</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Canada regulates medical devices through Health Canada, or HC. HC classifies medical devices into four classifications, with Class I being the lowest risk. Class I and II devices are often cleared for sale after they are CE marked or listed on the company’s ISO certification and filed via fax-back applications. Higher risk devices (Class III and IV) require dossiers that resemble U.S. 510(k) applications. As a holder of Canadian device licenses, we are subject to inspection by HC at our Vaughan, Canada office, and we must maintain a valid MDSAP certificate. Our Vaughan, Canada office was most recently inspected in August 2017, the results of which were satisfactory. Our Burlington office was most recently audited under the MDSAP in July 2024, the results of which were satisfactory.</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Japan, the Ministry of Health, Labor and Welfare, or MHLW, regulates medical devices through the Pharmaceutical Affairs Law. As a holder of Japanese device licenses, we are also subject to inspection by several Japanese authorities including Japan’s Pharmaceutical and Medical Device Agency, or PMDA, Tokyo Metropolitan Government, or TMG, and third parties such as Japan’s Electrical Safety &amp; Environmental Technologies Laboratories, or JET. Our Tokyo office was most recently inspected by JET in March 2024, the results of which were satisfactory.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Australia regulates the import and sale of medical devices through the Therapeutic Goods Administration, or TGA. The TGA has built its regulatory framework around requirements similar to Europe. As such, lower risk medical devices may gain marketing clearance using their existing EU-issued CE marking. Higher risk devices must go through a design review which can be costly and take longer. Issued licenses for medical devices do not require renewal, but do require an annual fee to remain active. As a holder of Australian device licenses, we are also subject to inspection by TGA in both Australia and the United States. Our North Melbourne facility, where we previously manufactured Omniflow II, was inspected by TGA in December 2018, and our Burlington facility was inspected in July 2024 under the MDSAP, the results of both inspections were satisfactory. Australia requires all foreign manufacturers to have an in country ‘sponsor’ who must have a licensed business inside Australia. Our licenses are managed by our sponsor, Emergo Group.</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China, the National Medical Products Administration, or NMPA, regulates and approves all medical devices. China has a three-class risk classification system, with Class I being the lowest. Home country approval, such as 510(k) or PMA clearance, is required as a prerequisite. Additionally, the NMPA often tests devices at its own testing laboratory. The approval process is lengthy and usually requires clinical trials. NMPA licenses are valid for five years and require renewal. As a holder of Chinese device licenses, we are subject to inspection by NMPA in both China and the United States. Our Shanghai offices were inspected by NMPA in August 2018, the results of which were satisfactory. The NMPA requires all companies located outside of China to appoint a legal entity that maintains a registered business inside of China as the license holder. After forming our Chinese subsidiary in 2015, we transferred our licenses from the third-party license holders to our subsidiary.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 Regulation of Human Tissue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FDA</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allografts are subject to extensive regulation by the FDA under Title 21 of the Code of Federal Regulations, Part 1271 (Human Cells, Tissues, and Cellular and Tissue-Based Products). These regulations were promulgated under Section 361 of the Public Health Service Act, which authorized the FDA to issue regulations to prevent the spread of communicable disease. Under these regulations, the FDA requires registration of establishments that process human cells, tissues, and cellular and tissue-based products. These FDA regulations also establish donor-eligibility criteria, current good tissue practice and other procedures to prevent the introduction, transmission, and spread of communicable diseases by such products, including through donor screening and testing. Our Fox River Grove, Illinois facility is registered with the FDA’s Center for Biologics Evaluation and Research. The regulations also provide for FDA inspection of tissue establishments. The FDA most recently inspected our Fox River Grove, Illinois facility in April 2023, and the results were satisfactory.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AATB</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voluntarily comply with the standards of the tissue bank industry’s accreditation organization, the American Association of Tissue Banks, or AATB. The AATB has established standards for tissue banking and administers an accreditation program. Accreditation must be renewed every three years. Our Fox River Grove, Illinois facility has been accredited by the AATB for the processing, storage, and distribution of cardiac and vascular tissue for transplantation through May 13, 2027. The AATB is entitled to inspect members at any time. The AATB most recently inspected our Fox River Grove, Illinois facility in November 2023, and the results were satisfactory.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NOTA</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National Organ Transplant Act, or NOTA, it is unlawful for any person or entity to knowingly acquire, receive, or otherwise transfer any human organ for valuable consideration for use in human transplantation if the transfer affects interstate commerce. However, “valuable consideration” excludes reasonable payments associated with the removal, transportation, implantation, processing, preservation, quality control, and storage of a human organ. We believe the compensation we receive with respect to our allografts falls within this statutory exception.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Certain states regulate the processing, storage and distribution of human tissue. We are licensed or registered with California, Delaware, Florida, Illinois, Maryland, New York, and Oregon. The regulatory agencies of these states may inspect our Fox River Grove, Illinois facility from time to time to monitor compliance with their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products and services are subject to a variety of state and local laws in jurisdictions where our products and services are marketed or distributed. There are federal, state, and local laws relating to matters such as safe working conditions, manufacturing practices, environmental protection, fire hazard control, and disposal of hazardous substances.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an adverse effect on our business.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we have complied with these laws and regulations and have never been required to correct any noncompliance, there can be no assurance that we will not be required to comply with environmental regulations in the future.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 of Human Tissue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Sales of human tissues services outside the US are subject to international regulatory requirements that vary from country to country. Similar to medical devices, an approval to distribute tissue in the EU is first obtained from a member state that allows entry of the tissue onto the European market. Subsequent distribution to other member states is subject to varying registration requirements based on the state and local authorities in that country. In Canada, our allograft preservation services are regulated by Health Canada’s Biologics and Genetic Therapies Directorate, Health Products and Food Branch. We received approval to market our allograft preservation services in Canada in 2017. In the UK, we are regulated by the Human Tissue Authority, or HTA, and received approval to provide our allograft preservation services in 2022. Applications to UK and European states might also require an inspection of our facilities as well as our suppliers prior to approval. We made applications in 2023 to the Irish and German health authorities seeking approval to import and sell our allograft preservation services inside the European market. As a result of our applications, the German authority has inspected our Fox River Grove, Illinois facility and two of our tissue recovery partners.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Reimbursement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Healthcare providers that purchase medical devices generally rely on third-party payors, including the Medicare and Medicaid programs and private payors (such as indemnity insurers, employer group health insurance programs, and managed care plans) to reimburse all or part of the cost of those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For example, Medicare reimbursement policies favor outpatient treatment. Furthermore, payments from Medicare, Medicaid, and other third-party payors are subject to legislative and regulatory changes and are susceptible to budgetary pressures.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U.S., third-party payors generally pay healthcare providers directly for the procedures they perform and in certain instances for the products they use. Our sales volumes depend on the extent to which third-party payors cover our products and the procedures in which they are used. In general, a third-party payor only covers a medical product or procedure when the plan administrator is satisfied that the product or procedure is medically necessary because it improves health outcomes, including quality of life or functional ability, in a safe and cost-effective manner. Even if a device has received clearance or approval for marketing by the FDA, there is no assurance that third-party payors will cover the cost of the device and related procedures in which the device is used.</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many instances, third-party payors cover the procedures performed using our products using price fee schedules that do not vary reimbursement to reflect the cost of the products and equipment used in performing those procedures. In other instances, payment or reimbursement is separately available for the products and equipment used, in addition to payment or reimbursement for the procedure itself. Even if coverage is available, third-party payors may place restrictions on the circumstances in which they provide coverage or may offer reimbursement that is not sufficient to cover the cost of our products.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many third-party payors are moving to managed care systems in which providers contract to provide comprehensive healthcare for a fixed cost per person rather than the traditional fee for service model. Managed care providers often attempt to control the cost of healthcare by authorizing fewer elective surgical procedures. Under current prospective payment systems, such as the diagnosis-related group system and the hospital out-patient prospective payment system, both of which are used by Medicare and in many managed care systems used by private third-party payors, the reimbursement for our products is incorporated into the overall reimbursement of a procedure, and there is no separate reimbursement for our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2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Our success in international markets will depend partly upon the availability of reimbursement from the third-party payors through which healthcare providers are paid in those markets. Reimbursement and healthcare payment systems in non-U.S. markets vary by country. The main types of healthcare payment systems are government-sponsored healthcare and private insurance. As in the United States, reimbursement is subject to legislative and regulatory changes and budgetary pressures. Reimbursement approval must be obtained individually in each country. Outside the United States, we may pursue reimbursement approval in countries where we sell directly to the hospital. In other markets, we generally rely on our distributors to obtain reimbursement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Fraud and Abuse Laws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may directly or indirectly be subject to various U.S. federal and state laws pertaining to healthcare fraud and abuse, including anti-kickback laws. In particular, the U.S.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healthcare programs, such as the Medicare and Medicaid programs. Penalties for violations include criminal penalties and civil sanctions such as fines, imprisonment, and possible exclusion from Medicare, Medicaid, and other federal healthcare programs. The Anti-Kickback Statute is broad and prohibits many arrangements and practices that are lawful in businesses outside of the healthcare industry. In implementing the statute, the Office of Inspector General, or OIG, has issued a series of regulations, known as “safe harbors.”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safe harbors may result in increased scrutiny by government enforcement authorities.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Patient Protection and Affordable Care Act</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March 2010, reforms to the U.S. healthcare system were adopted in the form of the Patient Protection and Affordable Care Act, or PPACA. Under the PPACA we are subject to the Open Payments Act, which requires detailed public disclosure of certain payments and “transfers of value” from us to healthcare professionals, such as the payment of royalties, compensation for services provided and reimbursement for travel and meal expenses. Certain states also require us to disclose similar information or even prohibit some forms of these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had 664 employees, including 651 full-time employees, as of December 31, 2024. Our full-time employees are as follows: 329 manufacturing and operations, 211 sales and marketing, 68 general and administrative and 43 research and development. On a monthly basis we review (1) hiring needs, (2) the number of new hires, and (3) our voluntary resignation rate. In 2024, we increased our headcount by 37 full-time employees, and our voluntary resignation rate was 10.3%.</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believe in providing competitive pay and benefits. We use third-party benchmarks to help determine wages. Our compensation is designed to attract, retain, and motivate employees to achieve results while balancing short- and long-term company performance. Annually, we work with external benefits consultants to evaluate the quality, competitiveness, and cost of our benefit offerings to all employees. In 2024, we implemented employer paid Long Term Disability and Life Insurance for our U.S.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sales are not dependent on any single customer or distributor, and we continue to expand our distribution channel worldwide through direct sales representatives and independent distributors. No single customer accounted for more than 2% of our net sales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October 19, 2006, we executed our initial public offering, and our common stock trades on The Nasdaq Global Market under the symbol “LMAT.” In January 2021 we changed our brand name from “LeMaitre Vascular” to “LeMaitre”. Our principal executive offices are located at 63 Second Avenue, Burlington, Massachusetts 01803, and our telephone number is (781) 221-2266. Our website address is www.lemaitre.com.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are available through the investor relations portion of our website (www.lemaitre.com) free of charge as soon as reasonably practicable after we electronically file such material with, or furnish it to, the SEC. The address of the SEC’s website is www.sec.gov. Information on our investor relations page and on our website is not part of this Annual Report on Form 10-K or any of our other securities filings unless specifically incorporated herein or therein by reference, and you should not consider any information contained in, or that can be accessed through, our website as part of this Annual Report on Form 10-K. The SEC maintains an internet site that contains reports, proxy and information statements, and other information.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required to do so by law. In addition, our Corporate Governance Guidelines, Code of Business Conduct and Ethics, our Compensation Recovery Policy, and the charters of our Audit, Compensation, and Nominating and Corporate Governance Committees are available on our website and are available in print to any stockholder who requests such information.</w:t>
      </w:r>
    </w:p>
    <w:p>
      <w:pPr>
        <w:sectPr>
          <w:pgSz w:w="11900" w:h="16838" w:orient="portrait"/>
          <w:cols w:equalWidth="0" w:num="1">
            <w:col w:w="11240"/>
          </w:cols>
          <w:pgMar w:left="320" w:top="121" w:right="339" w:bottom="609"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consider the following information about the risks described below, together with the other information contained in this Annual Report on Form 10-K and in our other public filings in evaluating our business. The following factors, among others, could cause our actual operating results to differ materially from those indicated or suggested by forward-looking statements made in this Annual Report on Form 10-K or presented elsewhere by management. Investors should consider the risks described below before making an investment decision. The risks described below are not the only ones we face. Additional risks not presently known to us or that we currently believe are not material may also impair our business operations. Our business could be harmed by any of these risks. The trading price of our common stock could decline due to any of these risks, and investors may lose all or part of their investment.</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other medical device companies and alternative medical technologies, and we may not be able to compete effectively.</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segments in which we primarily operate are competitive, subject to change, and affected by new product introductions. Our competitors vary by product line, as no company directly competes against us with respect to all our offerings. Certain competitors:</w:t>
      </w:r>
    </w:p>
    <w:p>
      <w:pPr>
        <w:spacing w:after="0" w:line="162" w:lineRule="exact"/>
        <w:rPr>
          <w:sz w:val="20"/>
          <w:szCs w:val="20"/>
          <w:color w:val="auto"/>
        </w:rPr>
      </w:pPr>
    </w:p>
    <w:p>
      <w:pPr>
        <w:ind w:left="980" w:right="680" w:hanging="486"/>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substantially greater capital resources, larger customer bases, broader product lines, larger sales forces, and larger research and development or regulatory staffs and resources;</w:t>
      </w: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stronger reputations and relationships with our target customers;</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developed more extensive distribution channels;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or may be able to manufacture and distribute products more efficiently at lower costs and offer comparable products at lower prices;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greater experience in developing and improving products, obtaining regulatory approvals, and manufacturing and marketing products;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develop technologies and products that are safer, more effective, easier to use, or less expensive than ours;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patent protection or regulatory approval or clearance, or achieve product commercialization, before us.</w:t>
      </w:r>
    </w:p>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open vascular surgical products additionally compete to varying degrees with endovascular devices, and we may experience sales erosion to the extent industry trends favor endovascular procedures. We are also potentially vulnerable to companies outside of the peripheral vascular device space that may develop technologies, products, procedures, or services that may impact the demand for or use of our products and services. To the extent we experience increased competitive pressures, whether direct or indirect, we could suffer loss of sales and market share or need to undertake competitive countermeasures, such as price reductions, that could cause our operating results to decline.</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source, acquire and integrate new businesses, product lines, or technologies, we may not achieve our growth objectives and our results of operations could suffer.</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limited internal research and development resources and capabilities. We have historically introduced few internally-developed new devices to market. A significant portion of our growth has been driven by acquisitions. Although we have completed 24 acquisitions since our founding, we have not completed an acquisition since 2020. Acquisition targets in the open vascular surgery space may be limited, and even to the extent that we are able to identify acquisition opportunities, there may be reasons that we are unable to consummate acquisitions, including, without limitation, an inability to agree upon acceptable acquisition terms, the presence of competitive bids, and regulatory or antitrust challenges. If we are unable to complete future potential acquisitions, our ability to grow may be inhibited.</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Even to the extent we complete acquisitions, we may experience:</w:t>
      </w:r>
    </w:p>
    <w:p>
      <w:pPr>
        <w:spacing w:after="0" w:line="225" w:lineRule="exact"/>
        <w:rPr>
          <w:sz w:val="20"/>
          <w:szCs w:val="20"/>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acquired businesses, personnel, and products into our existing business;</w:t>
      </w:r>
    </w:p>
    <w:p>
      <w:pPr>
        <w:spacing w:after="0" w:line="36" w:lineRule="exact"/>
        <w:rPr>
          <w:rFonts w:ascii="Times New Roman" w:cs="Times New Roman" w:eastAsia="Times New Roman" w:hAnsi="Times New Roman"/>
          <w:sz w:val="18"/>
          <w:szCs w:val="18"/>
          <w:color w:val="auto"/>
        </w:rPr>
      </w:pPr>
    </w:p>
    <w:p>
      <w:pPr>
        <w:ind w:left="980" w:right="20" w:hanging="486"/>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integrating manufacturing operations into our existing business or successfully replicating manufacturing processes at new manufacturing facilities on a cost-effective basis;</w:t>
      </w: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corporate gross margin due to lower margins associated with acquired devices;</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volume from key customers, particularly where the acquired company had concentrated sales;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from other business concerns;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integration than anticipated;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included as part of the acquisition;</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litigation with former owners related to contingent payments, liabilities assumed, or other matters;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complying with regulatory requirements to which we were not previously subject;</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transferring, maintaining or obtaining regulatory approvals for acquired products;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employees of the acquired business;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transitioning clinical studies or unfavorable results from such clinical studies;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suppliers or issues with the ongoing supply of the acquired product from its former owners;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the acquisition of in-process research and development; or</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as a result of equity financing or the incurrence of additional debt required to fund acquisition costs.</w:t>
      </w:r>
    </w:p>
    <w:p>
      <w:pPr>
        <w:spacing w:after="0" w:line="25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could also discover deficiencies withheld from us due to fraud or otherwise not uncovered in our due diligence, including deficiencies in internal controls, data adequacy and integrity, product quality, and regulatory compliance, as well as undisclosed contractual or other liabilities and product liabilities, any of which could result in us becoming subject to penalties or other liabilities. Any of these difficulties could negatively impact our ability to realize the intended and anticipated benefits from acquisitions.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our selling prices to customers, or if we are required to make price concessions, our sales growth could be reduced and our operating results could suffer.</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recent years a material portion of our sales growth has been driven by higher average selling prices, particularly with respect to our valvulotome and carotid shunt products. We cannot guarantee that we will be able to continue to increase selling prices at the same pace. The following factors, among others, could inhibit our ability to increase price, in the future:</w:t>
      </w:r>
    </w:p>
    <w:p>
      <w:pPr>
        <w:spacing w:after="0" w:line="176"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tolerance for additional price increases;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discussed above in these Risk Factors;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defects, failures, or recalls negatively affecting the reputation of our business or products;</w:t>
      </w:r>
    </w:p>
    <w:p>
      <w:pPr>
        <w:spacing w:after="0" w:line="36" w:lineRule="exact"/>
        <w:rPr>
          <w:rFonts w:ascii="Times New Roman" w:cs="Times New Roman" w:eastAsia="Times New Roman" w:hAnsi="Times New Roman"/>
          <w:sz w:val="18"/>
          <w:szCs w:val="18"/>
          <w:color w:val="auto"/>
        </w:rPr>
      </w:pPr>
    </w:p>
    <w:p>
      <w:pPr>
        <w:ind w:left="980" w:right="140" w:hanging="486"/>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healthcare spending, particularly in the United States, in response to government-enacted healthcare reform, general economic conditions, or the influence of accountable care organizations;</w:t>
      </w: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to reimbursement rates for the medical procedures in which our products are used; and</w:t>
      </w:r>
    </w:p>
    <w:p>
      <w:pPr>
        <w:spacing w:after="0" w:line="17"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marketplace changes, such as hospitals joining group purchasing organizations, integrated delivery networks, and managed care organizations.</w:t>
      </w:r>
    </w:p>
    <w:p>
      <w:pPr>
        <w:spacing w:after="0" w:line="16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raise prices in the future or unable to do so at the same pace as we have done in the recent past, we may experience a reduction in our net sales growth and our operating results could suffer. Additionally, even to the extent we are able to increase prices in the future, certain customers may respond to price increases by reducing or eliminating purchases with us, which could negate or reduce the financial benefit of those price increases.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historic levels of profit growth.</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operating income grew 42% in 2024 and 37% in 2023. This growth resulted principally from the growth of our sales force, average selling price increases, and operating expense restraint. If we are unable to replicate these favorable factors (or others) in 2025 or future years, our operating income growth could slow or disappear. Other factors that may affect our profitability growth include:</w:t>
      </w:r>
    </w:p>
    <w:p>
      <w:pPr>
        <w:spacing w:after="0" w:line="176"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future sales, manufacturing costs, and operating expenses;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strategy;</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and growth of our direct sales force;</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new products and services;</w:t>
      </w:r>
    </w:p>
    <w:p>
      <w:pPr>
        <w:sectPr>
          <w:pgSz w:w="11900" w:h="16838" w:orient="portrait"/>
          <w:cols w:equalWidth="0" w:num="1">
            <w:col w:w="11200"/>
          </w:cols>
          <w:pgMar w:left="320" w:top="121" w:right="37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direct sales organizations in new markets;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develop products;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competing products, technologies, and procedures;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regulatory approvals;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rates for our medical products and procedures;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litigation, if any;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w:t>
      </w:r>
    </w:p>
    <w:p>
      <w:pPr>
        <w:spacing w:after="0" w:line="25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Operating income growth may also vary significantly quarter-to-quarter due to quarterly fluctuations in our business that may be driven by the timing of, among other things, acquisitions, new product introductions, product discontinuations, product recalls, regulatory approvals, sales incentive programs, litigation, changes to tax law, and changes to our sales force or other personnel.</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sole- and limited-source suppliers could hinder our ability to deliver our products and services to our customers and could harm our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rely on sole- and limited-source suppliers for many of our important components and certain products, including our XenoSure biologic patch, VascuCel and CardioCel biologic patch, Artegraft biologic graft, Omniflow biosynthetic vascular graft, and RestoreFlow allografts. There are relatively few, or in some cases no, alternative, validated sources of supply for our sole-sourced materials and products. We do not always have supply agreements in place with suppliers, instead placing orders on an as-needed basis. At any time, these suppliers could discontinue or become incapable of the manufacture or supply of these materials or products. We do not ordinarily carry a significant inventory of these materials and products. Identifying and qualifying additional or replacement suppliers, if required, may not be accomplished quickly or at all and could involve significant additional costs. Any supply interruption from our suppliers or failure to obtain replacement suppliers would interrupt our ability to manufacture our products and result in production delays and increased costs. This could lead to loss of sales and customers, and our results of operations could be harmed. In some cases, changes to raw material suppliers or use of alternative raw materials may require significant testing and subsequent regulatory approval.</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our RestoreFlow allografts, we rely on tissue procurement organizations to provide donated tissue to us. While we have relationships with multiple tissue procurement organizations, we cannot be sure that a sufficient supply of suitable human tissue will be available to us, in which case our allograft preservation service revenues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ongoing implementation of our new enterprise resource planning system.</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While we have largely completed the implementation of a new enterprise resource planning, or ERP, system in the United States, we are continuing to work on its adoption internationally. ERP system implementations are complex, time-consuming, labor intensive, and involve substantial expenditures. The new ERP system is critical to our ability to gather important information; obtain and deliver products; send invoices; fulfill contractual obligations; maintain books and records; provide accurate, timely and reliable reports on our financial and operating results; and otherwise operate our business. ERP system implementations also require transformation of internal processes. Any such implementation involves risks, including loss of information and potential disruption in operations. For example, in the first half of 2024, a third-party independent service provider that assists us in billing our customers and connects to our ERP system, unexpectedly stopped billing our customers for their portion of shipping costs, which results in an increase in expense to us of $1.0 million. Subsequently, we recovered nearly all unbilled costs from our customers but there can be no assurance that we will experience a similar resolution related to any future events. The implementation and maintenance of the new ERP system may be subject to delays and cost overruns.</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disruptions, delays, or deficiencies in the implementation of the new ERP system could negatively affect our ability to process orders, ship products, send invoices, fulfill contractual obligations, accurately maintain books and records, provide accurate, timely, and reliable reports on our financial and operating results, including reports required by the SEC such as the evaluation of our internal control over financial reporting pursuant to Section 404 of the Sarbanes-Oxley Act of 2002, and otherwise operate our business. Additionally, if we do not complete the implementation of the new ERP system as planned, the effectiveness of our internal control over financial reporting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information security systems could adversely affect our business.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rely upon a combination of information technology systems and traditional recordkeeping to operate our business. In the ordinary course of business, we collect, store, and transmit confidential information (including, but not limited to, information about our business, financial information, personal data, intellectual property, and in some very limited instances, patient data). Our information technology and information security systems and records are potentially vulnerable to security breaches, service interruptions, data loss, or malicious attacks resulting from inadvertent or intentional actions by our employees, vendors, or other third parties. In addition, due to our international presence and mobile sales force, we have implemented remote work arrangements for certain employees, and those employees may use outside technology and systems that are vulnerable to security breaches, service interruptions, data loss, or malicious attacks, including by third parties.</w:t>
      </w:r>
    </w:p>
    <w:p>
      <w:pPr>
        <w:sectPr>
          <w:pgSz w:w="11900" w:h="16838" w:orient="portrait"/>
          <w:cols w:equalWidth="0" w:num="1">
            <w:col w:w="11220"/>
          </w:cols>
          <w:pgMar w:left="320" w:top="121"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While we have invested, and continue to invest, in our information technology and information security systems and employee information security training, there can be no assurance that our efforts will prevent all security breaches, phishing/fraud attempts, service interruptions, or data losses. Although we are not aware of having experienced any prior material data breaches, regulatory non-compliance incidents, or cyber security incidents, we may in the future be impacted by such an event, exposing our clients and us to a risk of someone obtaining access to our information, to information of our clients or their customers, or to our intellectual property; disabling or degrading service; or sabotaging systems or information. Any such security breach could result in a loss of confidence in the security of our services; damage our reputation; disrupt our business; require us to incur significant costs of investigation, remediation and/or payment of a ransom; lead to legal liability; negatively impact our future sales; and result in a substantial financial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devices are sold to a different call point, and we may not be successful in selling to that newer call point.</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terms of marketing and sales efforts, our primary call point focus is the vascular surgeon. Some of our products are sold to a call point that is different from this main call point. For example, historically, a significant portion of CardioCel sales have been to the pediatric cardiac surgeon. Our success in selling products like CardioCel will depend, in part, on our sales representatives devoting a portion of their time and establishing relationships with pediatric cardiac surgeons. If they do not undertake these activities or are unsuccessful in doing so, then this could lead to lower CardioCel sales. Cross-selling opportunities to pediatric cardiac surgeons are limited at LeMaitre. Also, if our sales representatives spend less time focused on vascular surgeons, the sales of our vascular products could decrease.</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tissue processing and preservation services are subject to a variety of risks, including those related to the procurement of human tissue and regulatory requirements.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ability to successfully provide RestoreFlow allograft processing, preservation and distribution services may be affected by the following:</w:t>
      </w:r>
    </w:p>
    <w:p>
      <w:pPr>
        <w:spacing w:after="0" w:line="225"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quality standards and controls to mitigate the risk that processed tissue cannot be sterilized;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and legal requirements specific to human tissue or changes in those requirements;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AATB accreditation, FDA establishment registration and state licensures;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the tissue procurement organizations with which we work are successful in procuring the gift of tissue donation;</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from tissue procurement organizations of adequate amounts of human tissue of a type and quality that meets our specifications;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human tissue in a cost-effective manner;</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turnover in a workforce skilled in tissue processing and cryopreservation;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of our tissue procurement organizations to current good tissue practices.</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failure in any one or more of these areas could adversely impact our ability to provide processing, preservation, and distribution services related to allografts and therefore our business and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in our manufacturing facilities could harm our results of operations.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principal worldwide executive, distribution, and manufacturing operations are located in five leased facilities in Burlington, Massachusetts. We also have a manufacturing site in North Brunswick, New Jersey as well as a tissue processing, preservation and distribution facility in Fox River Grove, Illinois. These facilities and the equipment we use to manufacture our products and services would be difficult to replace and could require substantial lead-time to repair or replace in the event of a natural or man-made disaster. In the event of a disaster, we may be required to shift production or processing to alternate manufacturing facilities, and we would be forced to rely on third-party manufacturers, if available. Although we carry insurance for damage to our property and the disruption of our business from casualties, such insurance may not be sufficient to cover all of our potential losses, including potential damage to our reputation, and may not continue to be available to us on acceptable terms, or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risks inherent in operating internationally and the risks of selling and shipping our products and of purchasing our components and products internationally may adversely impact our net sales, results of operations, and financial condition.</w:t>
      </w:r>
    </w:p>
    <w:p>
      <w:pPr>
        <w:spacing w:after="0" w:line="15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derive a significant portion of our net sales from outside of the United States. For the year ended December 31, 2024, 41% of our net sales were international. Our international sales operations expose us and our representatives, agents, and distributors to risks inherent in operating in foreign jurisdictions. These risks include:</w:t>
      </w:r>
    </w:p>
    <w:p>
      <w:pPr>
        <w:spacing w:after="0" w:line="176"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36" w:lineRule="exact"/>
        <w:rPr>
          <w:rFonts w:ascii="Times New Roman" w:cs="Times New Roman" w:eastAsia="Times New Roman" w:hAnsi="Times New Roman"/>
          <w:sz w:val="18"/>
          <w:szCs w:val="18"/>
          <w:color w:val="auto"/>
        </w:rPr>
      </w:pPr>
    </w:p>
    <w:p>
      <w:pPr>
        <w:ind w:left="980" w:right="20" w:hanging="486"/>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 including export licensing requirements, duties and tariffs, and other trade restrictions;</w:t>
      </w:r>
    </w:p>
    <w:p>
      <w:pPr>
        <w:ind w:left="980" w:right="440" w:hanging="486"/>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non-compliance with the Foreign Corrupt Practices Act or other anti-corruption laws by our personnel, distributors, and other agents;</w:t>
      </w: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device regulations that may impede our ability to register our products in one or more jurisdictions;</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or international sanctions against a country or party with whom we do business;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reimbursement policies;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of funds spent on healthcare in excess of budgeted amounts by foreign governments;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restrictions on the activities of foreign agents, representatives, and distributors;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foreign tax authorities, which could result in fines, penalties, and additional taxes;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or defending intellectual property rights;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legal, data privacy, and political standards;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or social instability.</w:t>
      </w:r>
    </w:p>
    <w:p>
      <w:pPr>
        <w:spacing w:after="0" w:line="25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cannot assure you that one or more of these factors will not harm our business. Any material decrease in our international sales would adversely impact the results of operations.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disruptions to our international business to the extent we transition our sales strategy in certain international jurisdictions from a distributor-based approach to a direct sales model.</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will typically enter new international markets by engaging a third-party distributor to conduct sales on our behalf. From time to time, we may choose to transition select international markets to a direct sales model. Local law or contractual terms may require us to compensate the distributor that is being eliminated, and we may incur new or sometimes unexpected costs associated with setting up a local entity and employing local staff. An increase in our near- and long-term costs of doing business in the relevant market may therefore occur. Additionally, we may not have adequate knowledge of or experience in the relevant market such that our sales may decline in the relevant market after going direct.</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or misuse of our products and the tissues we distribute may result in injuries that lead to product liability lawsuits or legal actions, which could be costly to our business.</w:t>
      </w:r>
    </w:p>
    <w:p>
      <w:pPr>
        <w:spacing w:after="0" w:line="159"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If our products or the tissue we process are defectively designed, manufactured, processed, or labeled; contain defective components; are misused; or found to have caused or contributed to injuries or death, we may become subject to costly litigation. Although we offer training for physicians, we do not require that physicians be trained in the use of our products, and physicians may use our products incorrectly or in procedures not contemplated by us. We are from time to time involved in product liability claims. Product liability claims could divert management’s attention from our core business, damage our reputation, be expensive to defend, and result in sizable damage awards against us.</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cannot assure you that our product liability insurance coverage will be sufficient to satisfy claims made against us. Further, we may not be able to maintain the same level of coverage, and we may not be able to obtain adequate coverage at a reasonable cost and on reasonable terms, if at all. Additionally, if any such product liability claim or series of claims is brought against us for uninsured liabilities or is in excess of our insurance coverage, our business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are involved in litigation where the outcome is uncertain and which could entail significant expense.</w:t>
      </w:r>
    </w:p>
    <w:p>
      <w:pPr>
        <w:spacing w:after="0" w:line="22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We are subject, from time to time, to legal proceedings and litigation, including, but not limited to, actions relating to product liability, employment matters, intellectual property, contract disputes, and other commercial matters. Because the outcome of litigation is inherently difficult to predict, it is possible that the outcome of litigation, or even simply the defense of litigation, could entail significant cost for us, divert management’s attention, and adversely affect our reputation. The fact that we operate in international markets also increases the risk that we may face legal exposure as we seek to comply with a large number of varying legal and regulatory requirements. If any such proceedings were to result in an unfavorable outcome, it could adversely affect our results of operations.</w:t>
      </w:r>
    </w:p>
    <w:p>
      <w:pPr>
        <w:sectPr>
          <w:pgSz w:w="11900" w:h="16838" w:orient="portrait"/>
          <w:cols w:equalWidth="0" w:num="1">
            <w:col w:w="11220"/>
          </w:cols>
          <w:pgMar w:left="320" w:top="121"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costly, and burdensome regulations. We could be subject to significant penalties if we fail to comply.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production and marketing of our products and services and our ongoing research and development are subject to extensive regulation and review by numerous governmental authorities both in the United States and abroad. U.S. and foreign regulations applicable to medical devices and human tissues are wide-ranging and govern, among other things, the testing, marketing, and premarket clearance or approval of new medical devices and services related to human tissue, as applicable, in addition to regulating manufacturing and processing practices, reporting, promotion and advertising, importing and exporting, labeling, and record-keeping procedures.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Within recent years, there has been an increase in the scope and enforcement of data privacy laws in the jurisdictions in which we do business. The European Parliament adopted the General Data Protection Regulation, or GDPR, effective May 2018. The California Consumer Privacy Act, or CCPA, effective January 2020, requires covered companies to provide, among other things, new disclosure to consumers about such companies’ data collection, as well as new use and sharing practices. Following the passage of the CCPA, several other U.S. states passed similar data privacy laws. In 2023, Europe finalized the first-ever comprehensive legal framework for governance of the use of artificial intelligence, the EU Artificial Intelligence Act, with a rolling effective date commencing in 2025. Compliance with these varying regimes has caused and will cause us to incur additional costs, including as may result from any non-compliance or asserted non-compliance.</w:t>
      </w:r>
    </w:p>
    <w:p>
      <w:pPr>
        <w:spacing w:after="0" w:line="18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regulatory requirements could result in governmental agencies or a court taking action, including any of the following:</w:t>
      </w:r>
    </w:p>
    <w:p>
      <w:pPr>
        <w:spacing w:after="0" w:line="162"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public warning letters to us;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and penalties on us;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an injunction preventing us from selling or distributing our products;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bringing civil or criminal charges against us;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a recall of, or detaining or seizing, our products or cryopreserved human tissue; or</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or denying approvals or clearances for our products.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or all of the foregoing were to occur, our business, results of operations, and brand could be materially adversely affected.</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obtaining additional and maintaining current clearances and approvals from U.S. governmental agencies for our medical devices, we might not be able to sell our products, and our future growth might be hampered.</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Each medical device that we wish to market in the United States generally must receive either 510(k) clearance or PMA approval. Either process can be lengthy and expensive. The FDA’s 510(k) clearance procedure usually takes three to twelve months. Although 510(k) clearances have been obtained for nearly all of our current products that require such clearances, the FDA may condition, limit or prohibit our sales of these products if safety or effectiveness problems develop with the devices. Our new products or significantly modified existing products could be denied 510(k) clearance.</w:t>
      </w:r>
    </w:p>
    <w:p>
      <w:pPr>
        <w:spacing w:after="0" w:line="180"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PMA approval process is more costly, lengthy, and uncertain. It generally takes from six months to three years. Achieving premarket approval typically requires extensive clinical trials and may require the filing of numerous amendments. We do not have significant experience in obtaining PMA approval or conducting these studies for our products.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FDA may also require the more extensive PMA process for certain products. Our ability to market our products outside the United States is also subject to regulatory approval, including our ability to demonstrate the safety and effectiveness of our products in the clinical setting. Even if regulatory approval or clearance of a product is granted, the approval or clearance could limit the uses or the claims for which the product may be labeled and promoted, which may limit the market for our products. If we do not obtain and maintain foreign regulatory or FDA approval with respect to our products, as applicable, we will not be able to sell our products, and our future growth could be affected.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some of our suppliers fail to comply with the FDA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QSR and other applicable requirements, our manufacturing or processing operations could be disrupted, and we may become subject to a variety of FDA enforcement actions.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inspection and marketing surveillance by the FDA to determine our compliance with all regulatory requirements. If the FDA finds that we have failed to comply with any regulatory requirements, it can institute a wide variety of enforcement actions, including, but not limited to, warning letters, fines, and penalties, injunctions, civil or criminal charges, mandatory recalls, and withdrawal of clearances to sell products.</w:t>
      </w:r>
    </w:p>
    <w:p>
      <w:pPr>
        <w:spacing w:after="0" w:line="17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and some of our suppliers must comply with the FDA’s QSR, which governs the methods used in, and the facilities and controls used for, the design, testing, manufacture, control, quality assurance, installation, servicing, labeling, packaging, storage, and shipping of medical devices. Our Fox River Grove, Illinois operations must comply with the FDA’s current Good Tissue Practices. The FDA enforces its regulations through pre-announced and unannounced inspections. We are subject to such inspections by the FDA and other regulatory bodies. The timing of future audits is unknown, and it is possible that audits may result in one or more unsatisfactory results. If we or one of our suppliers fails an inspection, or if a corrective action plan adopted by us or one of our suppliers is not sufficient, the FDA may bring an enforcement action against us.</w:t>
      </w:r>
    </w:p>
    <w:p>
      <w:pPr>
        <w:spacing w:after="0" w:line="18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participate in the MDSAP, which allows manufacturers to undergo a universal quality system audit that is accepted in the U.S., Japan, Australia, Canada and Brazil in lieu of individual routine audits by each regulator. Maintenance of this certification is a requirement to maintain sales in certain geographies, including Canada. Failure to maintain this certification in good standing could result in suspension of our sales efforts in Canada or other geographies.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also subject to the FDA’s general prohibition against promoting our products for unapproved or off-label uses and to the medical device reporting regulations that require us to report to the FDA if our products may have caused or contributed to a death or serious injury, or if our device malfunctions and a recurrence of the malfunction would likely result in a death or serious injury. We must also file reports with the FDA of some device corrections and removals, and we must adhere to the FDA’s rules on labeling and promotion. If we fail to comply with these or other FDA requirements or fail to take adequate corrective action in response to any significant compliance issue raised by the FDA, the FDA can take significant enforcement actions, which could harm our business, results of operations, and our reputation.</w:t>
      </w:r>
    </w:p>
    <w:p>
      <w:pPr>
        <w:spacing w:after="0" w:line="18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addition, most other countries, such as Japan, require us to comply with manufacturing and quality assurance standards for medical devices that are similar to those in the United States before marketing and selling our products in those countries.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international regulatory requirements to market our products or if we need to modify our operations or products as a result of such requirements, our business may be harmed.</w:t>
      </w:r>
    </w:p>
    <w:p>
      <w:pPr>
        <w:spacing w:after="0" w:line="15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Sales of medical devices outside the United States are subject to international regulatory requirements that vary from country to country. These requirements may differ from our experiences with the FDA. In some countries, we rely on our international distributors to obtain premarket approvals, complete product registrations, and comply with clinical trial requirements. Those distributors may lack certain competencies or expertise needed to perform those functions. Failure by us or our distributors to satisfy applicable medical device regulations would negatively impact our ability to sell our products in foreign countries and thereby negatively affect our operating results.</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order to market our medical devices in the EU we are required to obtain CE marks, which denote conformity to the essential requirements of the EU Medical Device Directive, or MDD, and the EU Medical Device Regulation, or MDR. The MDR took effect May 26, 2021, and replaces the MDD. Depending upon device classification, the deadline for compliance with the MDR with respect to our products is either December 31, 2027 or 2028, meaning we must obtain a new CE mark in accordance with the MDR by such date. Manufacturers of higher-risk devices generally must use a Notified Body, an appointed independent third party, to assess conformity. We currently use two Notified Bodies. We previously received CE marks under the MDD to sell most of our products. Nearly all of our products have been submitted to our Notified Bodies for review under the MDR. We have received CE marks under the MDR for 16 of our 23 product lines. If we fail to obtain new CE marks under the MDR, our sales in the EU could be adversely impacted.</w:t>
      </w:r>
    </w:p>
    <w:p>
      <w:pPr>
        <w:spacing w:after="0" w:line="189"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In connection with the UK’s exit from the EU, the UK Medicines and Healthcare Products Regulatory Agency, or MHRA, announced that CE marking will continue to be recognized in the UK and certificates issued by EU-recognized Notified Bodies will continue to be valid in the UK market until the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2027 and 2028 MDR compliance deadlines. Following such dates, all devices marketed in the UK will require UK Conformity Assessed, or UKCA, marks. We have received UKCA marks for 16 of our 23 product lines. If we fail to timely obtain UKCA marks for our products, our sales in the UK could be negatively affected.</w:t>
      </w:r>
    </w:p>
    <w:p>
      <w:pPr>
        <w:spacing w:after="0" w:line="18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facilities are subject to periodic inspection by numerous regulatory authorities, including governmental agencies and Notified Bodies, and we must demonstrate compliance with applicable medical device regulations. Any failure by us to comply with regulatory requirements may necessitate corrective action by us, such as modification of our policies and procedures. In addition, we may be required to cease all or part of our operations for some period of time until we can demonstrate that appropriate steps have been taken. There can be no assurance that we will be found in compliance with all applicable standards in future audits.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also pursue registrations in other jurisdictions in which we sell our devices directly, including, without limitation, Japan and China. In 2015, the China Food and Drug Administration, or NMPA, significantly increased the application fees for product registrations and imposed additional requirements for obtaining product approval, which includes requirements for conducting clinical trials to support the registration application process on newly introduced products in China. As a result, we may not seek registration for certain products where the registration and trial costs are not justified by anticipated sales. Any delay or failure to obtain foreign product registrations could have a negative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of the medical device industry might affect the manner in which we may sell medical devices and compete in the marketplace.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are laws and regulations that govern how healthcare companies may market their products and services to healthcare professionals,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and debarment from state or federal healthcare programs. Although we strive to comply with those laws and regulations, we cannot assure you that government officials will not assert that we are in violation of those laws or regulations. Federal and state laws are also sometimes open to interpretation, and from time to time we may find ourselves at a competitive disadvantage if our interpretation differs from that of our competitors.</w:t>
      </w:r>
    </w:p>
    <w:p>
      <w:pPr>
        <w:spacing w:after="0" w:line="185"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after our products have received marketing approval or clearance, our products and the tissue we process may be subject to recall. Licenses, registrations, approvals, and clearances could be withdrawn or suspended due to failure to comply with regulatory standards or the occurrence of unforeseen problems following initial approval.</w:t>
      </w:r>
    </w:p>
    <w:p>
      <w:pPr>
        <w:spacing w:after="0" w:line="175"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Our products, services, marketing, sales, development activities, and manufacturing processes are subject to extensive and rigorous regulation by the FDA, by comparable agencies in foreign countries, and by other regulatory agencies and governing bodies. If those regulatory bodies feel that we have failed to comply with regulatory standards, there can be no assurance that any approval, licensure, or registration will not be subsequently withdrawn, suspended or conditioned upon extensive post-market study requirements, even after having received marketing approval or clearance or licenses and registrations. Further, due to the interconnectedness of the various regulatory agencies, particularly within the EU, there is also no assurance that withdrawal or suspension of any of our approvals, licenses, or registrations by any single regulatory agency will not precipitate one or more additional regulatory agencies from also withdrawing or suspending their approval, license, or registration.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event that any of our products prove to be defective, we can voluntarily recall, or the FDA or foreign equivalent could require us to recall, any of our products. In the EU and UK, adverse event reporting requirements mandate that we report incidents which led or could have led to death or serious deterioration in health. Recalls, whether voluntary or required, could result in significant costs to us and significant adverse publicity. In severe instances, the FDA may also issue a warning letter and/or destruction of defective product and/or order the suspension or cessation of manufacturing of defective product. Additionally, if someone is harmed by a malfunction or a product defect, we may experience product liability claims for such defects. Any corrective action, whether voluntary or involuntary, as well as defending ourselves in a lawsuit, will require the dedication of our time and capital and may harm our financial results. Future recalls or claims could also result in significant costs to us and significant adverse publicity, which could harm our ability to market our products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contain materials derived from animal sources and may become subject to additional regulation.</w:t>
      </w:r>
    </w:p>
    <w:p>
      <w:pPr>
        <w:spacing w:after="0" w:line="229"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Our AlboGraft vascular grafts, Artegraft vascular graft, XenoSure biologic patch, and CardioCel and VascuCel biologic patch products contain bovine tissue or material derived from bovine sources, and our Omniflow II Biosynthetic Vascular Graft contains ovine tissue. Products that contain materials derived from animal sources are increasingly subject to scrutiny in the media and by regulatory authorities. Regulatory authorities are concerned about the potential for the transmission of disease from animals to humans. This public scrutiny has been acute in Japan and Western Europe with respect to products derived from animal sources because of concern that bovine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also increased awareness of the issue in North America. Certain regions or countries have issued regulations that require products to be processed from bovine tissue sourced from countries like Australia or New Zealand where no cases of BSE have occurred. Products that contain materials derived from animals, including our products, may become subject to additional regulation, or even be banned in certain countries. Significant new regulations, or a ban of our products, could impair our current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encounter supply challenges if chemicals or substances used in the manufacture, packaging, or sterilization of our products are restricted or banned as a result of environmental concerns.</w:t>
      </w:r>
    </w:p>
    <w:p>
      <w:pPr>
        <w:spacing w:after="0" w:line="159"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Certain of our products are manufactured, packaged, or sterilized using chemicals or substances that have drawn environmental concern. To the extent that the use of such chemicals or substances is restricted or banned, options to replace such chemicals or substitutes may not be readily available to us.</w:t>
      </w:r>
    </w:p>
    <w:p>
      <w:pPr>
        <w:spacing w:after="0" w:line="14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Per-and polyfluoroalkyl substances, or PFAS, are a group of chemicals that are used in a broad range of consumer and industrial products, including medical devices and related packaging. In October 2023, the Environmental Protection Agency, or EPA, released final rules requiring companies to report the manufacture or import of PFAS-containing products. Multiple states have also instituted bans on PFAS-containing products and mandated reporting on usage. These requirements collectively impose a high compliance burden, and further regulation of PFAS usage is expected. Although we have not been materially affected by PFAS regulations to date, the ultimate impact and associated cost of compliance is uncertain.</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Certain of our products are sterilized using ethylene oxide, or EtO. Concerns over EtO being released into the environment at unsafe levels have led to a range of regulatory proposals and actions; various regulatory enforcement activities against EtO facilities, including closures and temporary closures; and lawsuits against EtO service providers. The U.S. has a limited number of EtO facilities. Any permanent or temporary closures or disruption to the operations of these facilities could impair our ability to sterilize certain of our products, which could negatively affect our sales.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human tissue cryopreservation services are subject to a wide variety of federal, state, and international regulations, and our failure to comply would impair our ability to operate in that space and negatively affect our operating results.</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FDA regulates human tissue pursuant to Section 361 of the Public Health Services Act, which in turn provides the regulatory framework for regulation of human cellular and tissue products. The FDA regulations focus on donor screening and testing to prevent the introduction, transmission, and spread of HIV-1 and -2, Hepatitis B and C, and other communicable diseases and disease agents. The regulations set minimum requirements to prevent the transmission of communicable diseases from human tissue used for transplantation. The regulations define human tissue as any tissue derived from a human body which is (a) intended for administration to another human for the diagnosis, cure, mitigation, treatment, or prevention of any condition or disease and (b) recovered, preserved, stored, or distributed by methods not intended to change tissue function or characteristics. The FDA definition excludes, among other things, tissue that currently is regulated as a human drug, biological product, or medical device, and it also excludes kidney, liver, heart, lung, pancreas, or any other vascularized human organ. The current regulations applicable to human tissues include requirements for donor suitability, processing standards, establishment registration, product listing, testing, and screening for risks of communicable diseases. The FDA periodically audits our tissue preservation facilities for compliance with its requirements and has the authority to enjoin the distribution, force a recall, or require the destruction of tissues that do not meet its requirements.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activities in preserving and transporting human hearts and certain other organs are also subject to federal regulation under the National Organ Transplant Act, or NOTA, which makes it unlawful for any person to knowingly acquire, receive, or otherwise transfer any human organ for valuable consideration for use in human transplantation if the transfer affects interstate commerce. NOTA excludes from the definition of “valuable consideration” reasonable payments associated with the removal, transportation, implantation, processing, preservation, quality control, and storage of a human organ. The purpose of this statutory provision is to allow for compensation for legitimate services. We believe that, to the extent our activities are subject to NOTA, we meet this statutory provision relating to the reasonableness of our charges.</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Some states have enacted statutes and regulations governing the preservation, transportation, and storage of human organs and tissues. The activities we engage in require us to be either licensed or registered as a clinical laboratory or tissue bank under California, Delaware, Florida, Georgia, Illinois, Maryland, New York, and Oregon law. We have such licenses or registrations, and we believe we are in compliance with applicable state laws and regulations relating to clinical laboratories and tissue banks that store, preserve, and distribute donated human tissue designed to be used for medical purposes in human beings.</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Human Tissue Act 2004, or the HT Act, covers England, Wales, and Northern Ireland and established the Human Tissue Authority, or the HT Authority, to regulate activities concerning the removal, storage, use, and disposal of human tissue. Our office in the UK is licensed by the HT Authority for the import, storage, and distribution of human tissue from our tissue banking operations in the United States. As such, we are subject to periodic inspections and required to demonstrate continued compliance with the laws promulgated under the HT Act.</w:t>
      </w:r>
    </w:p>
    <w:p>
      <w:pPr>
        <w:spacing w:after="0" w:line="180"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While we believe we are in compliance with the patchwork of laws and regulations that apply to our human tissue cryopreservation services, we cannot guarantee that is the case, and any failure to comply could result in the suspension of licenses, fines, and penalties, any of which would have a negative impact on our ability to conduct our business and our operating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2.50% convertible senior notes requires a significant amount of cash, and we may not have sufficient cash flow to pay our debt.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December 2024, we completed an offering of $172,500,000 of 2.50% convertible senior notes due 2030, or the Convertible Notes, pursuant to, and governed by, an indenture, dated as of December 19, 2024, between us, as issuer, and U.S. Bank Trust Company, National Association, as trustee. The Convertible Notes provide for ongoing interest payments and payment at maturity of the principal amount plus any accrued but unpaid interest. Our ability to make scheduled payments of the principal of, to pay interest on, or to refinance our indebtedness, including the Convertible Notes, depends on our future performance, which is subject to many factors, including economic, financial, competitive, and others, some of which are beyond our control. If our business does not generate cash flow from operations sufficient to service our debt and make necessary capital expenditures, we may be required to adopt one or more alternatives, such as selling assets, restructuring debt, or obtaining additional equity capital on terms that may be onerous or highly dilutive. Our ability to refinance the Convertible Notes, which mature in 2030, will depend on the capital markets and our financial condition at such times. We may not be able to engage in any of these activities or engage in these activities on desirable terms, which could result in a default on our debt obligations and limit our flexibility in planning for and reacting to changes in our business.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repurchase the Convertible Notes as required upon a fundamental change, and our future debt may contain limitations on our ability to repurchase the Convertible Notes.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the Convertible Notes will have the right to require us to repurchase their Convertible Notes for cash upon the occurrence of a fundamental change at a fundamental change repurchase price equal to 100% of the principal amount of the Convertible Notes to be repurchased, plus accrued and unpaid interest, if any. A fundamental change may also constitute an event of default or prepayment under, and result in the acceleration of the maturity of, our then-existing indebtedness. We cannot guarantee that we will have sufficient financial resources, or will be able to arrange financing, to pay the fundamental change repurchase price in cash with respect to any Convertible Notes surrendered by holders for repurchase upon a fundamental change. In addition, restrictions under our then existing credit facilities or other indebtedness, if any, may not allow us to repurchase the Convertible Notes upon a fundamental change. Our failure to repurchase the Convertible Notes upon a fundamental change when required would result in an event of default with respect to the Convertible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Convertible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liquidity.</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Notes is triggered, holders will be entitled to convert their Convertible Notes at any time during specified periods at their option. The conversion rate is 8.3521 shares of common stock per each $1,000 principal amount of Notes, or approximately $119.73 per share, a 30% premium over the closing price on the date of pricing of the Convertible Notes. If one or more holders elect to convert their Convertible Notes, we will settle conversions of the Convertible Notes by paying or delivering, as applicable, cash, shares of our common stock, or a combination of cash and shares of our common stock, at our election. Full or partial cash settlement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the Convertible Notes may affect the value of our common stock.</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Convertible Notes would dilute the ownership interests of existing common stockholders to the extent we satisfy our conversion obligation by delivering shares of our common stock upon any conversion of such Convertible Notes. The Convertible Notes may become in the future convertible at the option of their holders under certain circumstances. If holders of the Convertible Notes elect to convert their Convertible Notes, we may settle our conversion obligation by delivering to them a significant number of shares of our common stock, which would cause dilution to our existing stockholders.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navigate executive officer transitions and retain key personnel, our business may be harmed.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Each of our Chief Executive Officer, Chief Financial Officer, President, and Senior Vice President, Operations have significant tenure with the company; are highly knowledgeable of the Company’s business, operations, budgeting, strategy, product offerings, resources, and personnel; maintain key external relationships on behalf of the Company; and have been integral to the success of the Company. The unexpected or unplanned departure of one or more of them could be disruptive to day-to-day operations. Significant resources and attention may need to be expended at the executive and Board levels to identify and onboard successors in the event of an unexpected or unplanned departure.</w:t>
      </w:r>
    </w:p>
    <w:p>
      <w:pPr>
        <w:spacing w:after="0" w:line="18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Joseph P. Pellegrino, Jr. has served as our Chief Financial Officer since 2007 and a member of our Board of Directors since 2016. In August 2024, Mr. Pellegrino announced that he will retire as Chief Financial Officer as of March 7, 2025. He will remain a member of the Board of Directors. Mr. Pellegrino will be replaced by Dorian LeBlanc.</w:t>
      </w:r>
    </w:p>
    <w:p>
      <w:pPr>
        <w:sectPr>
          <w:pgSz w:w="11900" w:h="16838" w:orient="portrait"/>
          <w:cols w:equalWidth="0" w:num="1">
            <w:col w:w="11220"/>
          </w:cols>
          <w:pgMar w:left="320" w:top="121" w:right="35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loss of key personnel could be disruptive to our operations and materially adversely affect our financial performance. We do not carry, nor do we currently intend to obtain, significant key-person life insurance on officers or other employees. Our success will depend on attracting and retaining qualified personnel and rapidly replacing and developing new management, as needed. The number of potential employees who have the extensive knowledge needed to develop, sell, and maintain our offerings is limited, and competition for their services is intense. There can be no guarantee that we will be able to attract and retain such personnel. If we are unable to do so, our business, operating results, and financial condition could be materially adversely affected. We have from time to time in the past experienced, and we expect to continue to experience in the future, difficulty in hiring and difficulty in retaining highly skilled employees with appropriate qualifications.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equity awards may provide less of an employee retention benefit if the price of our common stock is unable to grow beyond the record highs it has recently achieved.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price of our common stock experienced significant gains in 2024, reaching an all-time high in November 2024 of $108.09, nearly double where the stock began at the beginning of the year. Our market capitalization currently exceeds $2 billion. A meaningful portion of compensation provided to our more senior employees is provided in the form of equity awards that consist of restricted stock units, or RSUs, performance-based restricted stock units, or PSUs, and stock options. These rewards are partially intended to encourage retention. Historically we have enjoyed high levels of employee retention, particularly at senior levels. If we are unable to grow the price of our common stock, the retention value of employee equity awards could be diminished and our employee retention could suffer.</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or prevent use of our intellectual property by third parties, we could lose a significant competitive advantage and our business may suffer.</w:t>
      </w:r>
    </w:p>
    <w:p>
      <w:pPr>
        <w:spacing w:after="0" w:line="159" w:lineRule="exact"/>
        <w:rPr>
          <w:sz w:val="20"/>
          <w:szCs w:val="20"/>
          <w:color w:val="auto"/>
        </w:rPr>
      </w:pPr>
    </w:p>
    <w:p>
      <w:pPr>
        <w:ind w:right="320" w:firstLine="324"/>
        <w:spacing w:after="0" w:line="289" w:lineRule="auto"/>
        <w:rPr>
          <w:sz w:val="20"/>
          <w:szCs w:val="20"/>
          <w:color w:val="auto"/>
        </w:rPr>
      </w:pPr>
      <w:r>
        <w:rPr>
          <w:rFonts w:ascii="Times New Roman" w:cs="Times New Roman" w:eastAsia="Times New Roman" w:hAnsi="Times New Roman"/>
          <w:sz w:val="17"/>
          <w:szCs w:val="17"/>
          <w:color w:val="auto"/>
        </w:rPr>
        <w:t>Our success depends in part on maintaining and enforcing our intellectual property rights. We take precautionary steps to protect our technological advantages and intellectual property. We rely upon patent, trade secret, copyright, know-how, and trademark laws, as well as license agreements and contractual provisions, to establish our intellectual property rights and protect our products. These measures may only provide limited protection.</w:t>
      </w:r>
    </w:p>
    <w:p>
      <w:pPr>
        <w:spacing w:after="0" w:line="15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a relatively limited intellectual property portfolio. Even where we do have patents, the issuance of a patent is not always conclusive as to its validity or enforceability. Our patents could be circumvented or designed around by third parties. Furthermore, patents expire after a certain duration, depending on the jurisdiction in which they are issued. To the extent any manufacturers are successful in challenging our patents or they enter the market following the expiration of our patents, this could have an adverse impact on our business.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absence of patent protection, we avail ourselves of trade secret and confidentiality arrangements where appropriate. We have a policy of requiring employees and consultants and corporate partners with access to trade secrets or other confidential information to execute confidentiality agreements. Our confidentiality agreements also require our employees to assign to us all rights to any inventions made or conceived during their employment. We also generally require consultants to assign to us any inventions made during their engagement with us. There can be no assurance, however, that these arrangements will provide meaningful protection or adequate remedies for us in the event of unauthorized use, transfer, or disclosure of trade secrets, confidential information, or inventions.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claim that we infringe upon their intellectual property rights, we may incur liabilities and costs, and we may have to redesign or discontinue selling the affected product.</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Companies operating in our industry often seek patent protection for their novel product designs, and many of our principal competitors have large patent portfolios. Companies in the medical device industry have used intellectual property litigation to gain a competitive advantage. We face the risk of claims that we have infringed on third parties’ intellectual property rights, and we cannot assure you that our products or methods do not infringe the patents or other intellectual property rights of third parties. Our efforts to identify and avoid infringing on third parties’ intellectual property rights may not always be successful. Any claims of patent or other intellectual property infringement, even those without merit, could:</w:t>
      </w:r>
    </w:p>
    <w:p>
      <w:pPr>
        <w:spacing w:after="0" w:line="183"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us being required to pay significant damages;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or selling products;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products, which may not be possible;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right="840" w:hanging="486"/>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in order to obtain the right to use a third party’s intellectual property, which agreements may not be available on terms acceptable to us or at all;</w:t>
      </w: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attention of our management and key personnel from other tasks important to the success of our business; or</w:t>
      </w:r>
    </w:p>
    <w:p>
      <w:pPr>
        <w:spacing w:after="0" w:line="17" w:lineRule="exact"/>
        <w:rPr>
          <w:rFonts w:ascii="Times New Roman" w:cs="Times New Roman" w:eastAsia="Times New Roman" w:hAnsi="Times New Roman"/>
          <w:sz w:val="18"/>
          <w:szCs w:val="18"/>
          <w:color w:val="auto"/>
        </w:rPr>
      </w:pPr>
    </w:p>
    <w:p>
      <w:pPr>
        <w:ind w:left="980" w:right="56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customers or potential customers deferring or limiting their purchase or use of the affected products until resolution of the litigation.</w:t>
      </w:r>
    </w:p>
    <w:p>
      <w:pPr>
        <w:spacing w:after="0" w:line="162"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It is also possible that a third party could claim that our manufacturing processes violates an existing patent or other intellectual property rights. If we were unsuccessful in defending such a claim, we may be forced to stop production at one or more of our manufacturing facilities. In addition, new patents obtained by our competitors could threaten a product’s continued life in the market even after it has already been introduced. If our business is successful, the possibility may increase that others will assert infringement claims against us.</w:t>
      </w:r>
    </w:p>
    <w:p>
      <w:pPr>
        <w:spacing w:after="0" w:line="180"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If we believe our product is or may be the subject of a patent or other intellectual property rights of a third party, we may attempt to reach a license agreement with them to manufacture, market, and sell the product. If we fail to reach an agreement, we could be required to pay significant damages to third parties for past use of the asserted intellectual property and may be forced to cease making or selling the product that incorporates the challenged intellectual property.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an investment in our common stock could suffer a decline in value.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can be significant volatility in the market price and trading volume of equity securities that is unrelated to the financial performance of the companies issuing the securities. These broad market fluctuations may negatively affect the market price of our common stock. Some factors that may have a significant effect on our common stock market price include:</w:t>
      </w:r>
    </w:p>
    <w:p>
      <w:pPr>
        <w:spacing w:after="0" w:line="176"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future prospects;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growth rates;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announcements or our competitors’ announcements of new products;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determination whether to continue the payment of quarterly cash dividends;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determination whether to undertake or continue a share repurchase program;</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divestitures, or restructurings;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additional securities;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discontinuation of a product line or other revenue generating activity;</w:t>
      </w:r>
    </w:p>
    <w:p>
      <w:pPr>
        <w:spacing w:after="0" w:line="36" w:lineRule="exact"/>
        <w:rPr>
          <w:rFonts w:ascii="Times New Roman" w:cs="Times New Roman" w:eastAsia="Times New Roman" w:hAnsi="Times New Roman"/>
          <w:sz w:val="18"/>
          <w:szCs w:val="18"/>
          <w:color w:val="auto"/>
        </w:rPr>
      </w:pPr>
    </w:p>
    <w:p>
      <w:pPr>
        <w:ind w:left="980" w:right="200" w:hanging="486"/>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actions which may necessitate recalls of our products or services or warning letters that negatively affect the markets for our products or services;</w:t>
      </w: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directors, officers, or principal stockholders;</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by our affiliates and insiders of a significant percentage of our common stock;</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lower volume of trading in our common stock;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in or removal from stock market indices, such as the S&amp;P 600 or Russell 2000.</w:t>
      </w:r>
    </w:p>
    <w:p>
      <w:pPr>
        <w:spacing w:after="0" w:line="2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stock market has experienced price and volume fluctuations that have often been unrelated or disproportionate to the operating performance of individual companies. The market price of our common shares may also fluctuate significantly due to a variety of factors unrelated to our financial results, including political instability, natural disasters, pandemics, war and/or events of terrorism; comments by securities analysts; and general market conditions in our industry or in the economy as a whole. Broad market and industry factors may affect the market price of companies’ stock, including ours, regardless of actual operating performance.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 has significant voting power and may take actions that may not align with the interests of our other stockholders.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controls approximately 8.5% of our outstanding common stock as of December 31, 2024. As a result, he could have significant influence on matters requiring stockholder approval, including the election of directors and approval of significant corporate transactions. This concentration of ownership may have the effect of delaying or preventing a change in control, might adversely affect the market price of our common stock, and may not be fully aligned with the interests of other stockholders.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established a minimum dividend payment level for our common stockholders and there are no assurances of our ability to pay dividends to common stockholders in the future.</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February 2011, our Board of Directors adopted a quarterly dividend program for the purpose of returning capital to our stockholders. However, we have not established a minimum dividend payment level for our common stockholders and our ability to pay dividends may be harmed by the risks and uncertainties described in this Annual Report on Form 10-K and in the other documents we file from time to time with the SEC. Future dividends, if any, will be authorized by our Board of Directors. In addition, financial covenants in any future credit facility may restrict our ability to pay future quarterly dividends. We can provide no assurance of our ability to pay dividends in the future.</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LeMaitre Vascular recognizes the critical importance of developing, implementing, and maintaining robust cybersecurity measures to safeguard our information systems and protect the confidentiality, integrity, and availability of our data.</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risk management framework to promote a company-wide culture of cybersecurity risk management, with the goal of ensuring that cybersecurity considerations are an integral part of our decision-making processes. Our IT department continuously evaluates and addresses cybersecurity risks during our risk assessment process, in alignment with our business objectives and operational needs.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Engage Third-Parties on Risk Management</w:t>
      </w:r>
    </w:p>
    <w:p>
      <w:pPr>
        <w:spacing w:after="0" w:line="227"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we engage with external experts, including cybersecurity assessors and consultants, to evaluate and test our risk management systems. Our collaboration with third-parties includes periodic audits, threat assessments, and consultation on security enhancements.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Oversight of Third-party Risk</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Using a risk-based approach, we review third-party service providers as part of our IT general controls, particularly focusing on financial risk and the third-party applications and controls around that risk.</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Although we are not aware of having experienced any prior material data breaches, regulatory non-compliance incidents, or cyber security incidents, we may in the future be impacted by such an event, exposing our clients and us to a risk of someone obtaining access to our information, to information of our clients or their customers, or to our intellectual property; disabling or degrading service; or sabotaging systems or information. Any such security breach could result in a loss of confidence in the security of our services, damage our reputation, disrupt our business, require us to incur significant costs of investigation, remediation, or payment of a ransom, lead to legal liability, negatively impact our future sales, and result in a substantial financial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is aware of the critical nature of managing risks associated with cybersecurity threats. The Board has established oversight mechanisms to ensure effective governance in managing risks associated with cybersecurity threats because we recognize the significance of these threats to our operational integrity and stakeholder confidence.</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is central to our Board’s oversight of cybersecurity risks and bears the primary responsibility for this domain. On a periodic basis, our Audit Committee reviews the adequacy of our computer systems controls, cybersecurity risk management, and related governance and incident disclosures.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Role Managing Risk</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Senior Vice President, Information Technology and our Chief Financial Officer, or CFO, play a pivotal role in informing the Audit Committee on cybersecurity risks. They provide comprehensive briefings to the Audit Committee on a regular basis, with a minimum frequency of once per year. These briefings encompass a broad range of topics, including:</w:t>
      </w:r>
    </w:p>
    <w:p>
      <w:pPr>
        <w:spacing w:after="0" w:line="176"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5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scheduled meetings, the Audit Committee, our Senior Vice President, Information Technology, and our CFO maintain an ongoing dialogue regarding emerging or potential cybersecurity risks.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227"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our Senior Vice President, Information Technology, who has over 25 years of experience in the field. As each relates to cybersecurity, our Senior Vice President, Information Technology, leads testing of our compliance with standards, remediation of known risks, and our employee training program.</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Senior Vice President, Information Technology, leads our implementation and oversight of processes for the regular monitoring of our information systems. We have developed a cybersecurity incident response plan that is overseen by our Senior Vice President, Information Technology, and that includes immediate actions to mitigate the impact and longer-term strategies for remediation and prevention of future incidents.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Senior Vice President, Information Technology, regularly informs the CFO about matters related to cybersecurity risks and incidents. Together, our Senior Vice President, Information Technology, and CFO then update our Audit Committee and Board on significant cybersecurity matters, and strategic risk management.</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principal worldwide executive, distribution, and manufacturing operations are located at five leased facilities with square footage totaling 109,354 in Burlington, Massachusetts. Four of the five Burlington leases expire in December 2034 and the fifth lease expires December 2030. We have no option to extend or renew the four leases beyond December 2034.</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European operations are headquartered at a 21,410 square foot leased facility located in Sulzbach, Germany, with a lease expiring in June 2031. Our Asia Pacific operations are headquartered at a 1,270 square foot leased facility located in Singapore, with a lease expiring in June 2026. We also lease additional manufacturing, processing, distribution, and sales offices in other North America, Europe, and Asia Pacific locations. Based on our current operating plans, we believe our current facilities are adequate for our needs.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consisting of intellectual property, contractual, commercial, employment, and other matters. While the outcome of these proceedings and claims cannot be predicted with certainty, there are no matters, as of December 31, 2024, that, in the opinion of management, would be reasonably expected to have a material adverse effect on our financial position, results of operations or cash flows.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publicly traded on The Nasdaq Global Market under the symbol “LMAT”. Prior to our initial public offering on October 19, 2006,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February 24, 2025, the closing price per share of our common stock was $102.03 as reported on The Nasdaq Global Market, and we had approximately 155 stockholders of record. In addition, we believe that a significant number of beneficial owners of our common stock hold their shares in street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2011, our Board of Directors approved a policy for the payment of quarterly cash dividends on our common stock. In 2024, we paid a quarterly cash dividend of $0.16 per share, and in 2023, we paid a quarterly cash dividend of $0.14 per share. On February 18, 2025, our Board of Directors approved a quarterly cash dividend on our common stock of $0.20 per share payable on March 27, 2025, to stockholders of record at the close of business on March 13, 2025, which will total approximately $4.5 million. Future declarations of quarterly dividends and the establishment of future record and payment dates are subject to approval by our Board of Directors on a quarterly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227" w:lineRule="exact"/>
        <w:rPr>
          <w:sz w:val="20"/>
          <w:szCs w:val="20"/>
          <w:color w:val="auto"/>
        </w:rPr>
      </w:pPr>
    </w:p>
    <w:p>
      <w:pPr>
        <w:jc w:val="both"/>
        <w:ind w:right="3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shall not be deemed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for purposes of Section 18 of the Exchange Act, or otherwise subject to the liability of that Section, and shall not be deemed to be incorporated by reference into any of our other filings under the Exchange Act or the Securities, except to the extent we specifically incorporate it by reference into such filing.</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chart compares the cumulative total return on our common stock with that of the Nasdaq Composite Index, the iShares U.S. Medical Devices ETF Index and a peer group for the period covering from December 31, 2019, through the end of our fiscal year ended December 31, 2024. The graph assumes an investment of $100.00 made on December 31, 2019, in (i) our common stock, (ii) the stocks composing the Nasdaq Composite Index, (iii) the stocks composing the iShares U.S. Medical ETF Index, and (iv) the stocks composing our peer group, and assumes reinvestment of any dividends.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128270</wp:posOffset>
            </wp:positionV>
            <wp:extent cx="6077585" cy="5048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7585"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12/19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12/24</w:t>
            </w: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Vascular, Inc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269.50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223.87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iShares U.S. Medical Devices ETF</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124.18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135.27</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Peer Group</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140.64</w:t>
            </w:r>
          </w:p>
        </w:tc>
      </w:tr>
    </w:tbl>
    <w:p>
      <w:pPr>
        <w:spacing w:after="0" w:line="17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fiscal year ends on the last day of December each year. Data in the above table reflects market values for our stock and Nasdaq and peer group indices as of the close of trading on the last trading day of the year presented. Our peer group includes the following companies: AngioDynamics, Inc., Artivion, Inc., Atricure, Inc., Inari Medical, Inc., Merit Medical Systems, Inc., and Penumbra,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 Approximate</w:t>
            </w: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2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2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1280" w:type="dxa"/>
            <w:vAlign w:val="bottom"/>
          </w:tcPr>
          <w:p>
            <w:pPr>
              <w:spacing w:after="0"/>
              <w:rPr>
                <w:sz w:val="20"/>
                <w:szCs w:val="20"/>
                <w:color w:val="auto"/>
              </w:rPr>
            </w:pPr>
          </w:p>
        </w:tc>
        <w:tc>
          <w:tcPr>
            <w:tcW w:w="38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140" w:type="dxa"/>
            <w:vAlign w:val="bottom"/>
          </w:tcPr>
          <w:p>
            <w:pPr>
              <w:spacing w:after="0"/>
              <w:rPr>
                <w:sz w:val="20"/>
                <w:szCs w:val="20"/>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Program (2)</w:t>
            </w:r>
          </w:p>
        </w:tc>
      </w:tr>
      <w:tr>
        <w:trPr>
          <w:trHeight w:val="209"/>
        </w:trPr>
        <w:tc>
          <w:tcPr>
            <w:tcW w:w="128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1, 2024 through November 30, 2024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105.87</w:t>
            </w: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through December 31, 2024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13,248</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100.08</w:t>
            </w:r>
          </w:p>
        </w:tc>
        <w:tc>
          <w:tcPr>
            <w:tcW w:w="1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09"/>
        </w:trPr>
        <w:tc>
          <w:tcPr>
            <w:tcW w:w="12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100.13</w:t>
            </w:r>
          </w:p>
        </w:tc>
        <w:tc>
          <w:tcPr>
            <w:tcW w:w="1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820" w:right="400" w:hanging="326"/>
        <w:spacing w:after="0" w:line="26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December 31, 2024, we repurchased 13,347 shares of our common stock to satisfy employees’ obligations with respect to minimum statutory withholding taxes in connection with the vesting of restricted stock units.</w:t>
      </w:r>
    </w:p>
    <w:p>
      <w:pPr>
        <w:jc w:val="both"/>
        <w:ind w:left="820" w:right="520" w:hanging="326"/>
        <w:spacing w:after="0" w:line="255"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21, 2024, our Board of Directors authorized the repurchase of up to $50.0 million of the Company’s common stock through transactions in the open market, in privately negotiated transactions or otherwise until February 21, 2025. To date, we have not made any repurchases under that program.</w:t>
      </w:r>
    </w:p>
    <w:p>
      <w:pPr>
        <w:spacing w:after="0" w:line="18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should be read in conjunction with our consolidated financial statements and the related notes contained elsewhere in this Annual Report on Form 10-K and in our other SEC filings. The following discussion may contain predictions, estimates, and other forward-looking statements that involve a number of risks and uncertainties, including those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on Form 10-K. These risks could cause our actual results to differ materially from any future performance suggested below.</w:t>
      </w:r>
    </w:p>
    <w:p>
      <w:pPr>
        <w:spacing w:after="0" w:line="18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principal objectives of this Management’s Discussion and Analysis of Financial Condition and Results of Operations are to enhance our overall financial disclosures by providing explanation and analysis of the Company’s financial results and condition, as viewed by our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are a global provider of medical devices and human tissue cryopreservation services largely used in the treatment of peripheral vascular disease, end-stage renal disease, and cardiovascular disease. We develop, manufacture, and market vascular devices to address the needs of vascular surgeons and, to a lesser degree, other specialties such as cardiac surgeons, general surgeons and neurosurgeons. Our diversified portfolio of devices consists of brand name products that are used in arteries and veins and are well known to vascular surgeons. Our principal product offerings are sold globally, primarily in the United States, Europe, Canada and Asia Pacific. We estimate that the annual worldwide market for peripheral vascular devices exceeds $5 billion, within which we estimate that the market for our products is approximately $1 billion. We have grown our business using a three-pronged strategy: 1) pursuing a focused call point, 2) competing for sales of low-rivalry, niche products, and 3) expanding our worldwide direct sales force while acquiring complementary devices. We have used acquisitions as a primary means of further penetrating the peripheral vascular device market, and we expect to continue this strategy in the future. We currently manufacture most of our products in our Burlington, Massachusetts headquarters.</w:t>
      </w:r>
    </w:p>
    <w:p>
      <w:pPr>
        <w:spacing w:after="0" w:line="18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products and services are used primarily by vascular surgeons who treat peripheral vascular disease through both open surgical methods and endovascular techniques. In contrast to interventional cardiologists and interventional radiologists, vascular surgeons can perform both open surgical and minimally invasive endovascular procedures, and therefore can provide a wider range of treatment options to their patients. Recently we have also begun to explore adjacent market customers, such as cardiac surgeons and interventional cardiologists.</w:t>
      </w:r>
    </w:p>
    <w:p>
      <w:pPr>
        <w:spacing w:after="0" w:line="180"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Our principal product lines include the following: anastomotic clips, biologic vascular and dialysis grafts, biologic vascular and cardiac patches, carotid shunts, embolectomy and occlusion catheters, radiopaque marking tape, synthetic vascular and dialysis grafts, and valvulotomes. Through our RestoreFlow allografts business, we also process and cryopreserve human vascular and cardiac tissue.</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principal biologic offerings include vascular and cardiac patches as well as vascular and dialysis grafts. In 2024, biologics represented 52% of our worldwide sales. We believe our biologic devices represent differentiated and, in many cases, growing product segments.</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To assist us in evaluating our business strategies, we monitor long-term technology trends in the peripheral vascular device market. Additionally, we consider the information obtained from discussions with the medical community in connection with the demand for our products, including potential new product launches. We also use this information to help determine our competitive position in the peripheral vascular device market and our manufacturing capacity requirements.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opportunities include the following:</w:t>
      </w:r>
    </w:p>
    <w:p>
      <w:pPr>
        <w:spacing w:after="0" w:line="225" w:lineRule="exact"/>
        <w:rPr>
          <w:sz w:val="20"/>
          <w:szCs w:val="20"/>
          <w:color w:val="auto"/>
        </w:rPr>
      </w:pPr>
    </w:p>
    <w:p>
      <w:pPr>
        <w:ind w:left="980" w:right="460" w:hanging="486"/>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 sales force in North America, Europe, the UK, and Asia Pacific, including replacing distributors with our direct sales personnel;</w:t>
      </w: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average selling prices of our devices;</w:t>
      </w:r>
    </w:p>
    <w:p>
      <w:pPr>
        <w:spacing w:after="0" w:line="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our products into new territories upon receipt of regulatory approvals or registrations;</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complementary products, and the transition of distributor sales to LeMaitre;</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existing products and introducing new products through research and development, and</w:t>
      </w:r>
    </w:p>
    <w:p>
      <w:pPr>
        <w:spacing w:after="0" w:line="3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product manufacturing into our Burlington, Massachusetts facilities.</w:t>
      </w:r>
    </w:p>
    <w:p>
      <w:pPr>
        <w:spacing w:after="0" w:line="25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sell our products and services primarily through a direct sales force. As of December 31, 2024, our sales force comprised 152 sales representatives in North America, Europe, the UK, and Asia Pacific, including four export managers. Our worldwide headquarters is located in Burlington, Massachusetts, and we also have a North American sales office in Vaughan, Canada. Our European headquarters is located in Sulzbach, Germany, and we also have European sales offices in Milan, Italy; Madrid, Spain; Hereford, England; Dublin, Ireland; and Maisons-Alfort, France. Our Asia Pacific headquarters is located in Singapore, and we also have Asia Pacific sales offices in Tokyo, Japan; Shanghai, China; Kensington, Australia; Seoul, Korea; and Bangkok, Thailand. During the year ended December 31, 2024, approximately 95% of our net sales were generated in territories in which we employ direct sales representatives. We sell our products in other countries through distributors.</w:t>
      </w:r>
    </w:p>
    <w:p>
      <w:pPr>
        <w:spacing w:after="0" w:line="18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success in lower-rivalry niche segments. In the valvulotome market, for example, our differentiated devices have historically allowed us to increase average selling prices without incurring significant unit share loss. In contrast, we have experienced less success in competitive markets such as the polyester vascular graft market, where we face competition from larger companies with greater resources and lower per unit costs.</w:t>
      </w:r>
    </w:p>
    <w:p>
      <w:pPr>
        <w:spacing w:after="0" w:line="180"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We have also experienced success in international markets, such as Europe, where we have a significant sales force, and sometimes offer lower average selling prices than in North America. If we continue to seek growth opportunities outside of North America, we may experience downward pressure on our gross margin.</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obtain regulatory approvals for our devices and services in new product categories and geographies in order to further access the broader peripheral device market and selected other markets. While much of our regulatory effort is focused on maintaining regulatory approvals in various geographies, we will continue to obtain new product approvals in new geographies in order to extend our geographic reach. Recent approvals include the approval to sell the XenoSure patch for carotid indication in Japan in May 2023, the Pruitt Irrigation Occlusion Catheter in China in October 2023, the XenoSure patch for cardiac indication in China in December 2024, and the Artegraft bovine graft in Thailand and Malaysia in August 2024 and in South Africa in October 2024.</w:t>
      </w:r>
    </w:p>
    <w:p>
      <w:pPr>
        <w:spacing w:after="0" w:line="187"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Separately, in July 2024, we received MDR CE marks allowing for the continued sale of ten devices into the EU. Previously we had obtained four MDR CE marks. In January 2025, we received MDR CE marks to market Burlington-manufactured CardioCel and VascuCel devices in the EU. In total, we expect to receive 23 MDR CE marks by the end of 2025. The European Commission has designated the end of 2028 as the final MDR CE mark deadline.</w:t>
      </w:r>
    </w:p>
    <w:p>
      <w:pPr>
        <w:spacing w:after="0" w:line="15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strategy for growing our business includes the acquisition of complementary product lines and companies, which can be difficult to identify, negotiate, and purchase. There can be no assurance that we will be able to do so in the future.</w:t>
      </w:r>
    </w:p>
    <w:p>
      <w:pPr>
        <w:spacing w:after="0" w:line="162" w:lineRule="exact"/>
        <w:rPr>
          <w:sz w:val="20"/>
          <w:szCs w:val="20"/>
          <w:color w:val="auto"/>
        </w:rPr>
      </w:pPr>
    </w:p>
    <w:p>
      <w:pPr>
        <w:ind w:left="980" w:right="700" w:hanging="486"/>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we entered into an agreement with Artegraft to purchase the assets of their bovine graft business for $72.5 million plus additional payments of up to $17.5 million, contingent upon unit sales.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Occasionally we discontinue or divest products that are no longer complementary to our business or not commercially viable.</w:t>
      </w:r>
    </w:p>
    <w:p>
      <w:pPr>
        <w:spacing w:after="0" w:line="225" w:lineRule="exact"/>
        <w:rPr>
          <w:sz w:val="20"/>
          <w:szCs w:val="20"/>
          <w:color w:val="auto"/>
        </w:rPr>
      </w:pPr>
    </w:p>
    <w:p>
      <w:pPr>
        <w:ind w:left="980" w:right="380" w:hanging="486"/>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we made decisions to wind down the TRIVEX powered phlebectomy systems, remote endarterectomy devices and surgical glue. These product lines totaled approximately $2.2 million in 2021 revenues.</w:t>
      </w:r>
    </w:p>
    <w:p>
      <w:pPr>
        <w:spacing w:after="0" w:line="161"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we made the decision to wind down the ProCol graft, AlboSure polyester patch, LeverEdge and Latis graft cleaning catheter product lines. These products totaled approximately $0.7 million in 2022 revenues.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right="300" w:hanging="486"/>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made the decision to wind down the PeriVu Angioscope product line. This product totaled approximately $0.9 million in 2024 revenues.</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undertake SKU reductions and attempt to transition sales to other SKUs or products with similar features. For example, in 2022, we initiated the transition of sales of our Syntel spring tip catheter to our Syntel regular tip catheter. Any of these actions may result in inventory write-offs and temporary or permanent negative impacts to our sales, gross margin, and customer relationships.</w:t>
      </w:r>
    </w:p>
    <w:p>
      <w:pPr>
        <w:spacing w:after="0" w:line="176" w:lineRule="exact"/>
        <w:rPr>
          <w:sz w:val="20"/>
          <w:szCs w:val="20"/>
          <w:color w:val="auto"/>
        </w:rPr>
      </w:pPr>
    </w:p>
    <w:p>
      <w:pPr>
        <w:jc w:val="both"/>
        <w:ind w:right="420" w:firstLine="324"/>
        <w:spacing w:after="0" w:line="282" w:lineRule="auto"/>
        <w:rPr>
          <w:sz w:val="20"/>
          <w:szCs w:val="20"/>
          <w:color w:val="auto"/>
        </w:rPr>
      </w:pPr>
      <w:r>
        <w:rPr>
          <w:rFonts w:ascii="Times New Roman" w:cs="Times New Roman" w:eastAsia="Times New Roman" w:hAnsi="Times New Roman"/>
          <w:sz w:val="18"/>
          <w:szCs w:val="18"/>
          <w:color w:val="auto"/>
        </w:rPr>
        <w:t>Because we believe that direct-to-hospital sales engender closer customer relationships, and allow for higher selling prices and gross margins, we periodically enter into transactions with country-specific distributors to transition their sales of our medical devices into our direct sales organization:</w:t>
      </w:r>
    </w:p>
    <w:p>
      <w:pPr>
        <w:spacing w:after="0" w:line="162" w:lineRule="exact"/>
        <w:rPr>
          <w:sz w:val="20"/>
          <w:szCs w:val="20"/>
          <w:color w:val="auto"/>
        </w:rPr>
      </w:pPr>
    </w:p>
    <w:p>
      <w:pPr>
        <w:ind w:left="980" w:right="220" w:hanging="486"/>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entered into a distribution transition agreement with our Korean distributor to sell products directly in Korea and dissolve the existing distribution arrangement. We have been selling direct-to-hospital in Korea since December 2022. The distribution termination fees totaled approximately $0.5 million.</w:t>
      </w:r>
    </w:p>
    <w:p>
      <w:pPr>
        <w:spacing w:after="0" w:line="202" w:lineRule="exact"/>
        <w:rPr>
          <w:rFonts w:ascii="Times New Roman" w:cs="Times New Roman" w:eastAsia="Times New Roman" w:hAnsi="Times New Roman"/>
          <w:sz w:val="18"/>
          <w:szCs w:val="18"/>
          <w:color w:val="auto"/>
        </w:rPr>
      </w:pPr>
    </w:p>
    <w:p>
      <w:pPr>
        <w:ind w:left="980" w:right="80" w:hanging="486"/>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we entered into a distribution transition agreement with our Thai distributor to sell products directly in Thailand and dissolve the existing distribution arrangement. We have been selling direct-to-hospital in Thailand since August 2023. The distribution termination fees totaled approximately $0.7 million.</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also benefit, to a lesser extent, from internal product development efforts to bring differentiated technologies and next-generation products and services to market:</w:t>
      </w:r>
    </w:p>
    <w:p>
      <w:pPr>
        <w:spacing w:after="0" w:line="162" w:lineRule="exact"/>
        <w:rPr>
          <w:sz w:val="20"/>
          <w:szCs w:val="20"/>
          <w:color w:val="auto"/>
        </w:rPr>
      </w:pPr>
    </w:p>
    <w:p>
      <w:pPr>
        <w:ind w:left="980" w:hanging="486"/>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received FDA clearance to market PhasTIPP, a portable powered phlebectomy device used to remove varicose veins in the leg. The device was launched in the United States in April 2024.</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sales growth strategies, we have also executed several operational initiatives designed to consolidate manufacturing into our Burlington facilities. We expect these plant consolidations and manufacturing transfers will result in improved control over production quality as well as reduced costs. Our most recent manufacturing transfers included:</w:t>
      </w:r>
    </w:p>
    <w:p>
      <w:pPr>
        <w:spacing w:after="0" w:line="176" w:lineRule="exact"/>
        <w:rPr>
          <w:sz w:val="20"/>
          <w:szCs w:val="20"/>
          <w:color w:val="auto"/>
        </w:rPr>
      </w:pPr>
    </w:p>
    <w:p>
      <w:pPr>
        <w:ind w:left="980" w:right="100" w:hanging="486"/>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2018, we acquired the Cardial business from Becton Dickinson. Cardial manufactured polyester vascular grafts, valve cutters and surgical glue at its St. Etienne, France facility. In June 2022, we closed the St. Etienne factory to streamline manufacturing operations and to reduce expenses. We are transitioning Cardial graft sales to our Burlington-manufactured AlboGraft product for additional cost savings and improved margins.</w:t>
      </w:r>
    </w:p>
    <w:p>
      <w:pPr>
        <w:spacing w:after="0" w:line="179" w:lineRule="exact"/>
        <w:rPr>
          <w:rFonts w:ascii="Times New Roman" w:cs="Times New Roman" w:eastAsia="Times New Roman" w:hAnsi="Times New Roman"/>
          <w:sz w:val="18"/>
          <w:szCs w:val="18"/>
          <w:color w:val="auto"/>
        </w:rPr>
      </w:pPr>
    </w:p>
    <w:p>
      <w:pPr>
        <w:ind w:left="980" w:right="160" w:hanging="486"/>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we acquired the CardioCel and VascuCel biologic patch businesses from Anteris. The transfer to Burlington was substantially completed in 2023. In June 2023, the MDR CE mark application for these Burlington-produced devices was submitted and we obtained approval in January 2025. We began distributing these Burlington-produced patches in the United States, Canada and select APAC markets in 2024.</w:t>
      </w:r>
    </w:p>
    <w:p>
      <w:pPr>
        <w:spacing w:after="0" w:line="18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Finally, from time to time we enter into distribution agreements of complementary product lines with the option to acquire the product line in the future:</w:t>
      </w:r>
    </w:p>
    <w:p>
      <w:pPr>
        <w:spacing w:after="0" w:line="162" w:lineRule="exact"/>
        <w:rPr>
          <w:sz w:val="20"/>
          <w:szCs w:val="20"/>
          <w:color w:val="auto"/>
        </w:rPr>
      </w:pPr>
    </w:p>
    <w:p>
      <w:pPr>
        <w:ind w:left="980" w:right="40" w:hanging="486"/>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entered into an agreement with Elutia to become the exclusive U.S. distributor of their cardiovascular porcine patches. Under the agreement, we can distribute the products for three years with an option to acquire Elutia’s worldwide cardiovascular porcine patch business during the second and third year of the agreement. Sales through LeMaitre Vascular for the nine months ended December 31, 2023 were $4.1 million. Sales through LeMaitre Vascular for the twelve months ended December 31, 2024 were $5.0 million.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execution of these initiatives may affect the comparability of our financial results and may cause fluctuations from period to period.</w:t>
      </w:r>
    </w:p>
    <w:p>
      <w:pPr>
        <w:spacing w:after="0" w:line="225"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February 2024, we began implementing a new ERP system to replace our financial reporting and planning system. We expect that the new ERP system will be beneficial in a number of areas, including inventory management, pricing programs, financial operations and real-time reporting. We have been preparing for this transition since 2022 and have hired an experienced consulting team to assist in this transition, and, in the U.S., we transitioned from our legacy ERP system to our newly implemented Microsoft Dynamics D365 system in February 2024. We expect to implement this new system in selected countries in Europe in 2025, starting with the UK. As of December 31, 2024, we have capitalized costs on our balance sheet of $4.7 million associated with this ERP system.</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Fluctuations in the exchange rates between the U.S. dollar and foreign currencies, primarily the Euro, affect our financial results. For the year ended December 31, 2024, approximately 41% of our sales took place outside of the United States, largely in currencies other than the U.S. dollar. We expect foreign currencies will represent a significant percentage of future sales. Selling, marketing, and administrative costs related to these sales are also denominated in foreign currencies, thereby partially mitigating our bottom-line exposure to exchange rate fluctuations. However, if there is a decrease in the rate at which a foreign currency is exchanged for U.S. dollars, it will require more of the foreign currency to equal a specified amount of U.S. dollars than before the rate increase. In such cases we will record less revenue in U.S. dollars than we did before the exchange rate changed. For 2024, we estimate that the effects of changes in foreign exchange rates decreased our reported sales by approximately $0.4 million, as compared to rates in effect for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Expense Components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the primary components of our net sales and expenses:</w:t>
      </w:r>
    </w:p>
    <w:p>
      <w:pPr>
        <w:spacing w:after="0" w:line="22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We derive our net sales from the sale of our products and services, less discounts and returns. Net sales include the shipping and 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paid for by our customers. Most of our sales are generated by our direct sales force and are shipped and billed to hospitals or clinics throughout the world. In countries where we do not have a direct sales force, sales are primarily to distributors, who in turn sell to hospitals and clinics. In certain cases our products are held on consignment at a hospital or clinic prior to purchase; in those instances we recognize revenue at the time the product is used in surgery rather than at shipment.</w:t>
      </w:r>
    </w:p>
    <w:p>
      <w:pPr>
        <w:spacing w:after="0" w:line="179"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We manufacture the majority of the products that we sell. Our cost of sales consists primarily of manufacturing personnel, raw materials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components, depreciation of property and equipment, and other allocated manufacturing overhead, as well as the freight expense we pay to ship products to customers.</w:t>
      </w:r>
    </w:p>
    <w:p>
      <w:pPr>
        <w:spacing w:after="0" w:line="171"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w:t>
      </w:r>
      <w:r>
        <w:rPr>
          <w:rFonts w:ascii="Times New Roman" w:cs="Times New Roman" w:eastAsia="Times New Roman" w:hAnsi="Times New Roman"/>
          <w:sz w:val="18"/>
          <w:szCs w:val="18"/>
          <w:color w:val="auto"/>
        </w:rPr>
        <w:t>Our sales and marketing expense consists primarily of salaries, commissions, stock-based compensation, travel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entertainment, sales meetings, attendance at vascular and cardiac congresses, training programs, advertising and product promotions, direct mail, and other marketing costs.</w:t>
      </w:r>
    </w:p>
    <w:p>
      <w:pPr>
        <w:spacing w:after="0" w:line="171"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executive, finance and human resource salaries,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legal and accounting fees, information technology expense, intangible asset amortization expense, and insurance expense.</w:t>
      </w:r>
    </w:p>
    <w:p>
      <w:pPr>
        <w:spacing w:after="0" w:line="155"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primarily includes costs associated with obtaining and maintaining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our products, salaries, laboratory testing, and supply costs. It also includes costs associated with the design and execution of clinical studies, costs to register, maintain, and defend our intellectual property, and costs to transfer the manufacturing of acquired product lines to our Burlington facility. Also included are costs associated with the design, development, testing, and enhancement of new or existing products.</w:t>
      </w:r>
    </w:p>
    <w:p>
      <w:pPr>
        <w:spacing w:after="0" w:line="176" w:lineRule="exact"/>
        <w:rPr>
          <w:sz w:val="20"/>
          <w:szCs w:val="20"/>
          <w:color w:val="auto"/>
        </w:rPr>
      </w:pPr>
    </w:p>
    <w:p>
      <w:pPr>
        <w:ind w:right="8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Other income (expense) primarily includes interest income and expense, foreign currency gains (losses),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miscellaneous gains (losses).</w:t>
      </w:r>
    </w:p>
    <w:p>
      <w:pPr>
        <w:spacing w:after="0" w:line="155" w:lineRule="exact"/>
        <w:rPr>
          <w:sz w:val="20"/>
          <w:szCs w:val="20"/>
          <w:color w:val="auto"/>
        </w:rPr>
      </w:pPr>
    </w:p>
    <w:p>
      <w:pPr>
        <w:ind w:right="2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are subject to federal and state income taxes for earnings generated in the United States, which include operating losses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in certain foreign jurisdictions for certain years depending on tax elections made, and foreign taxes on earnings of our wholly-owned foreign subsidiaries. Our consolidated tax expense is affected by the mix of our taxable income (loss) in the United States and foreign subsidiaries, permanent items, discrete items, unrecognized tax benefits, and amortization of goodwill for U.S. tax reporting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2024 to the year ended December 31, 2023</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net sales by geography, and the change between the specified periods expressed as a percentage increase or decrease:</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3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 in thousands)</w:t>
            </w: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193,484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26,379</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130,308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14,275</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59,969</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51,099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8,870</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12,077</w:t>
            </w:r>
          </w:p>
        </w:tc>
        <w:tc>
          <w:tcPr>
            <w:tcW w:w="2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3,234</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193,484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26,379</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increased by $26.4 million, or 14%, to $219.9 million for the year ended December 31, 2024, compared to $193.5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2023. The increase was driven primarily by higher average selling prices, higher hospital procedure volumes, and additional sales representatives. Graft sales increased $11.1 million, patch sales increased $6.4 million, shunt sales increased $3.7 million and catheter sales increased $3.0 million. We estimate that the stronger U.S. dollar decreased net sales by $0.4 million during the year ended December 31, 2024 as compared to the year ended December 31, 2023.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Direct-to-hospital net sales were 95% and 96% of our total net sales for the years ended December 31, 2024 and 2023, respectively.</w:t>
      </w:r>
    </w:p>
    <w:p>
      <w:pPr>
        <w:spacing w:after="0" w:line="22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by geography. </w:t>
      </w:r>
      <w:r>
        <w:rPr>
          <w:rFonts w:ascii="Times New Roman" w:cs="Times New Roman" w:eastAsia="Times New Roman" w:hAnsi="Times New Roman"/>
          <w:sz w:val="18"/>
          <w:szCs w:val="18"/>
          <w:color w:val="auto"/>
        </w:rPr>
        <w:t>Net sales in the Americas increased $14.3 million, or 11%, for the year ended December 31, 2024 as compared to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2023. The increase was driven primarily by increased sales of grafts of $8.5 million, patches of $3.4 million and valvulotomes of $1.2 million.</w:t>
      </w:r>
    </w:p>
    <w:p>
      <w:pPr>
        <w:spacing w:after="0" w:line="175" w:lineRule="exact"/>
        <w:rPr>
          <w:sz w:val="20"/>
          <w:szCs w:val="20"/>
          <w:color w:val="auto"/>
        </w:rPr>
      </w:pPr>
    </w:p>
    <w:p>
      <w:pPr>
        <w:ind w:right="400" w:firstLine="324"/>
        <w:spacing w:after="0" w:line="312" w:lineRule="auto"/>
        <w:rPr>
          <w:sz w:val="20"/>
          <w:szCs w:val="20"/>
          <w:color w:val="auto"/>
        </w:rPr>
      </w:pPr>
      <w:r>
        <w:rPr>
          <w:rFonts w:ascii="Times New Roman" w:cs="Times New Roman" w:eastAsia="Times New Roman" w:hAnsi="Times New Roman"/>
          <w:sz w:val="17"/>
          <w:szCs w:val="17"/>
          <w:color w:val="auto"/>
        </w:rPr>
        <w:t>EMEA net sales increased $8.9 million, or 17%, for the year ended December 31, 2024 as compared to the year ended December 31, 2023. The increase was driven primarily by increased sales of shunts of $2.9 million, patches of $2.4 million, grafts of $1.6 million and catheters of $1.1 million.</w:t>
      </w:r>
    </w:p>
    <w:p>
      <w:pPr>
        <w:spacing w:after="0" w:line="14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Asia Pacific net sales increased $3.2 million, or 27%, for the year ended December 31, 2024 as compared to the year ended December 31, 2023. The increase was driven primarily by increased sales of catheters of $1.2 million, grafts of $1.1 million and patches of $0.6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The following table sets forth the change in our gross profit and gross margin for the periods indicated:</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1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 in thousands)</w:t>
            </w: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150,901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127,049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23,852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Not applicable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Gross profit increased $23.9 million, or 19%, to $150.9 million for the year ended December 31, 2024, and gross margin increased by 290 basis points to 68.6% in the period. The increase in gross profit was driven primarily by increased sales, particularly from allograft preservation services, bovine vascular patches, carotid shunts and bovine grafts. The increase in gross margin was driven primarily by greater manufacturing efficiencies and sales price increases, which was partially offset by unfavorable product mix, including sales of comparatively lower margin allograft preservation services, and increased excess and obsolescence charges.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following table sets forth the change in our operating expenses for the periods indicated and the change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periods expressed as a percentage increase or decrease:</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 as a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 as a %</w:t>
            </w:r>
          </w:p>
        </w:tc>
      </w:tr>
      <w:tr>
        <w:trPr>
          <w:trHeight w:val="238"/>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of Net Sales</w:t>
            </w:r>
          </w:p>
        </w:tc>
      </w:tr>
      <w:tr>
        <w:trPr>
          <w:trHeight w:val="209"/>
        </w:trPr>
        <w:tc>
          <w:tcPr>
            <w:tcW w:w="3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 in thousands)</w:t>
            </w:r>
          </w:p>
        </w:tc>
        <w:tc>
          <w:tcPr>
            <w:tcW w:w="1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46,737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5,683</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36,258</w:t>
            </w: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31,832</w:t>
            </w:r>
          </w:p>
        </w:tc>
        <w:tc>
          <w:tcPr>
            <w:tcW w:w="22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4,426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98,645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8,308</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2024, sales and marketing expenses increased 14% to $46.7 million. The increase was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by higher sales representative headcount, which resulted in increased compensation and related expenses of $4.2 million. Additionally, travel, training, and sales meeting expenses increased $1.7 million in 2024. Sales rep headcount was 152 as of December 31, 2024, a 12% increase from December 31, 2023. As a percentage of net sales, sales and marketing expenses remained consistent at 21% for the year ended December 31, 2024 versus the prior period.</w:t>
      </w:r>
    </w:p>
    <w:p>
      <w:pPr>
        <w:spacing w:after="0" w:line="179" w:lineRule="exact"/>
        <w:rPr>
          <w:sz w:val="20"/>
          <w:szCs w:val="20"/>
          <w:color w:val="auto"/>
        </w:rPr>
      </w:pPr>
    </w:p>
    <w:p>
      <w:pPr>
        <w:ind w:right="2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For the year ended December 31, 2024, general and administrative expenses increased 14% to $36.3 million.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driven primarily by higher headcount and related recruiting fees, accrued bonus, and stock compensation expenses, which resulted in increased compensation and related expenses of $2.1 million. Additionally, professional fees and outside services expenses increased $1.2 million and facilities expenses increased $0.8 million. As a percentage of sales, general and administrative expenses remained consistent at 16% for the year ended December 31, 2024 versus the prior period.</w:t>
      </w:r>
    </w:p>
    <w:p>
      <w:pPr>
        <w:spacing w:after="0" w:line="17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For the year ended December 31, 2024, research and development expenses decreased 8% to $15.7 million. The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driven by comparatively higher costs in 2023 related to outside services, professional fees, and testing related to MDD and MDR approvals, of $1.3 million. Additionally, process engineering expenses decreased $0.7 million as CardioCel device manufacturing was initiated at our Burlington facility in 2024, and related expenses were allocated to cost of sales. The decrease was partially offset by higher compensation and related expenses of $0.7 million. As a percentage of sales, total research and development expenses decreased to 7% for the year ended December 31, 2024, down from 9% in the prior period.</w:t>
      </w:r>
    </w:p>
    <w:p>
      <w:pPr>
        <w:spacing w:after="0" w:line="182" w:lineRule="exact"/>
        <w:rPr>
          <w:sz w:val="20"/>
          <w:szCs w:val="20"/>
          <w:color w:val="auto"/>
        </w:rPr>
      </w:pPr>
    </w:p>
    <w:p>
      <w:pPr>
        <w:ind w:right="6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Restructuring. </w:t>
      </w:r>
      <w:r>
        <w:rPr>
          <w:rFonts w:ascii="Times New Roman" w:cs="Times New Roman" w:eastAsia="Times New Roman" w:hAnsi="Times New Roman"/>
          <w:sz w:val="17"/>
          <w:szCs w:val="17"/>
          <w:color w:val="auto"/>
        </w:rPr>
        <w:t>For the year ended December 31, 2024, there were no restructuring expenses. On June 30, 2022, we ceased operations at our 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Etienne, France factory. The closure resulted in a restructuring charge of $3.1 million for the year ended December 31, 2022. These charges consisted primarily of employment termination costs, impairment of fixed assets and inventory, and third-party costs. For the year ended December 31, 2023, we recorded additional restructuring expenses related to this closure of $0.5 million. The additional expenses consisted primarily of employment termination, settlement, legal, and other third-party costs. As a percentage of sales, restructuring expenses was less than 1% for the year ended December 31, 2023.</w:t>
      </w:r>
    </w:p>
    <w:p>
      <w:pPr>
        <w:spacing w:after="0" w:line="164"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a tax provision of $12.8 million on pre-tax income of $56.9 million for the twelve months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$9.4 million on pre-tax income of $39.5 million for the twelve months ended December 31, 2023.</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20.2% and 22.6% for the three- and twelve-month periods ended December 31, 2024 respectively. Our tax expense for 2024 is based on an estimated annual effective tax rate of 24.5%, adjusted in the applicable quarterly periods for stock option exercises and other discrete items. Our income tax expense for 2024 varies from the statutory rate mainly due to federal and state tax credits, permanent items, different statutory rates from our foreign entities, and stock option exercises.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25.3% and 23.7% for the three- and twelve-month periods ended December 31, 2023, respectively. Our 2023 provision was based on an estimated annual effective tax rate of 26.1%, adjusted in the applicable quarterly period for discrete stock option exercises and other discrete items. Our income tax expense for 2023 varied from the statutory rate mainly due to permanent items, different statutory rates from our foreign entities, and stock option exercises.</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monitor the mix of profitability by tax jurisdiction and adjust our annual expected rate on a quarterly basis as needed. While it is often difficult to predict the final outcome or timing of the resolution for any particular tax matter, we believe our tax reserves reflect the probable outcome of known contingencies.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assess the likelihood that our deferred tax assets will be realized through future taxable income and record a valuation allowance to reduce gross deferred tax assets to an amount we believe is more likely than not to be realized. As of December 31, 2024, we have provided a valuation allowance of $1.7 million for deferred tax assets primarily related to Australian net operating loss and capital loss carry forwards and Massachusetts tax credit carry forwards that are not expected to be realized.</w:t>
      </w:r>
    </w:p>
    <w:p>
      <w:pPr>
        <w:sectPr>
          <w:pgSz w:w="11900" w:h="16838" w:orient="portrait"/>
          <w:cols w:equalWidth="0" w:num="1">
            <w:col w:w="11140"/>
          </w:cols>
          <w:pgMar w:left="320" w:top="121" w:right="439" w:bottom="1440" w:gutter="0" w:footer="0" w:header="0"/>
        </w:sectPr>
      </w:pP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eliminated the option to deduct research and development expenditures immediately in the year incurred and requires taxpayers to amortize such expenditures over five years for tax purposes. This provision resulted in a cash tax liability for the 2024 tax year of approximately $0.8 million. Our net deferred tax assets increased in 2024 by approximately $0.9 million as a result as well. This provision is also expected to increase our 2025 cash tax liability. The actual impact on 2025 cash tax liability will depend on the amount of research and development expenses paid or incurred in 2025 among other factors. The impact will continue over the five-year amortization period, but will decrease ratably over the period.</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Inflation Reduction Act, or IRA, was enacted into law on August 16, 2022. Included in the IRA was a provision to implement a 15% corporate alternative minimum tax on “adjusted financial statement income” for applicable corporations and a 1% excise tax on repurchases of stock. These provisions are effective for tax years beginning after December 31, 2022. We do not currently believe the IRA will have a material impact on our reported results, cash flows, or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2023 to the year ended December 31, 2022</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net sales by geography, and the change between the specified periods expressed as a percentage increase or decrease:</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3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 in thousands)</w:t>
            </w: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161,651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31,833</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109,439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20,869</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41,854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9,245</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10,358</w:t>
            </w:r>
          </w:p>
        </w:tc>
        <w:tc>
          <w:tcPr>
            <w:tcW w:w="2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1,719</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161,651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31,833</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increased by $31.8 million, or 20%, to $193.5 million for the year ended December 31, 2023, compared to $161.7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2022. The increase was driven primarily by higher average selling prices, elevated hospital procedure volumes, additional sales representatives, and sales related to our new porcine patch product line. Graft sales increased $10.5 million, patch sales increased $10.4 million, valvulotome sales increased $6.3 million, and shunt sales increased $3.1 million. We estimate that the weaker U.S. dollar increased net sales by $0.2 million during the year ended December 31, 2023 as compared to the year ended December 31, 2022.</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Direct-to-hospital net sales were 96% and 95% of our total net sales for the years ended December 31, 2023 and 2022, respectively.</w:t>
      </w:r>
    </w:p>
    <w:p>
      <w:pPr>
        <w:spacing w:after="0" w:line="221" w:lineRule="exact"/>
        <w:rPr>
          <w:sz w:val="20"/>
          <w:szCs w:val="20"/>
          <w:color w:val="auto"/>
        </w:rPr>
      </w:pPr>
    </w:p>
    <w:p>
      <w:pPr>
        <w:jc w:val="both"/>
        <w:ind w:right="2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by geography. </w:t>
      </w:r>
      <w:r>
        <w:rPr>
          <w:rFonts w:ascii="Times New Roman" w:cs="Times New Roman" w:eastAsia="Times New Roman" w:hAnsi="Times New Roman"/>
          <w:sz w:val="18"/>
          <w:szCs w:val="18"/>
          <w:color w:val="auto"/>
        </w:rPr>
        <w:t>Net sales in the Americas increased $20.9 million, or 19%, for the year ended December 31, 2023 as compared to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2022. The increase was driven primarily by increased sales of grafts of $7.5 million, patches of $6.5 million, valvulotomes of $5.2 million, and shunts of $1.0 million.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EMEA net sales increased $9.2 million, or 22%, for the year ended December 31, 2023 as compared to the year ended December 31, 2022. The increase was driven primarily by increased sales of patches of $3.3 million, grafts of $3.0 million, shunts of $1.9 million, and valvulotomes of $1.1 million.</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Asia Pacific net sales increased $1.7 million, or 17%, for the year ended December 31, 2023 as compared to the year ended December 31, 2022. The increase was driven primarily by increased sales of catheters of $0.7 million, patches of $0.6 million, grafts of $0.3 million, and shunts of $0.2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The following table sets forth the change in our gross profit and gross margin for the periods indicated:</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1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 in thousands)</w:t>
            </w: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127,049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104,896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22,153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Not applicable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Gross profit increased $22.2 million, or 21%, to $127.0 million for the year ended December 31, 2023, and gross margin increased by 80 basis points to 65.7% in the period. The increase in gross profit was driven primarily by increased sales, particularly from valvulotomes, bovine vascular patches, bovine grafts and porcine patches. The increase in gross margin was driven primarily by favorable product mix, including sales of comparatively higher margin valvulotomes, and manufacturing efficiencies, which were partially offset by increased scrap and excess and obsolescence charges.</w:t>
      </w:r>
    </w:p>
    <w:p>
      <w:pPr>
        <w:sectPr>
          <w:pgSz w:w="11900" w:h="16838" w:orient="portrait"/>
          <w:cols w:equalWidth="0" w:num="1">
            <w:col w:w="11200"/>
          </w:cols>
          <w:pgMar w:left="320" w:top="121" w:right="37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following table sets forth the change in our operating expenses for the periods indicated and the change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periods expressed as a percentage increase or decrease: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 as a %</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2022 as a %</w:t>
            </w:r>
          </w:p>
        </w:tc>
      </w:tr>
      <w:tr>
        <w:trPr>
          <w:trHeight w:val="238"/>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of Net Sales</w:t>
            </w:r>
          </w:p>
        </w:tc>
      </w:tr>
      <w:tr>
        <w:trPr>
          <w:trHeight w:val="209"/>
        </w:trPr>
        <w:tc>
          <w:tcPr>
            <w:tcW w:w="3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 in thousands)</w:t>
            </w:r>
          </w:p>
        </w:tc>
        <w:tc>
          <w:tcPr>
            <w:tcW w:w="1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41,054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8,133</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31,832</w:t>
            </w:r>
          </w:p>
        </w:tc>
        <w:tc>
          <w:tcPr>
            <w:tcW w:w="3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28,745</w:t>
            </w:r>
          </w:p>
        </w:tc>
        <w:tc>
          <w:tcPr>
            <w:tcW w:w="26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3,087</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16,966</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13,294</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3,672</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3,107</w:t>
            </w:r>
          </w:p>
        </w:tc>
        <w:tc>
          <w:tcPr>
            <w:tcW w:w="2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(2,622)</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90,337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12,270</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2023, sales and marketing expenses increased 25% to $41.1 million. The increase was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by higher sales and associated commissions, contest and bonus expenses, increased sales rep and marketing headcounts, and an increase in salaries and wages. Compensation and related expenses increased by $6.1 million, travel and training expenses increased by $0.8 million, and sales meetings and trade show expenses increased by $0.7 million. Sales rep headcount was 136 as of December 31, 2023, a 4% increase from December 31, 2022. As a percentage of net sales, sales and marketing expenses increased to 21% for the year ended December 31, 2023, up from 20% in the prior period.</w:t>
      </w:r>
    </w:p>
    <w:p>
      <w:pPr>
        <w:spacing w:after="0" w:line="179"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For the year ended December 31, 2023, general and administrative expenses increased 11% to $31.8 million.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driven primarily by higher compensation and related expenses of $1.7 million due to an increase in personnel. Additionally, professional fees and outside services expenses increased $1.4 million. As a percentage of sales, general and administrative expenses decreased to 16% for the year ended December 31, 2023, down from 18% in the prior period.</w:t>
      </w:r>
    </w:p>
    <w:p>
      <w:pPr>
        <w:spacing w:after="0" w:line="176"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For the year ended December 31, 2023, research and development expenses increased 28% to $17.0 million.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driven primarily by higher outside services and testing expenses of $2.0 million, due to higher consulting and third-party costs largely associated with European regulatory approvals. Additionally, compensation and related expenses increased $1.4 million due to an increase in personnel. As a percentage of sales, total research and development expenses increased to 9% for the year ended December 31, 2023, up from 8% in the prior period.</w:t>
      </w:r>
    </w:p>
    <w:p>
      <w:pPr>
        <w:spacing w:after="0" w:line="176"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w:t>
      </w:r>
      <w:r>
        <w:rPr>
          <w:rFonts w:ascii="Times New Roman" w:cs="Times New Roman" w:eastAsia="Times New Roman" w:hAnsi="Times New Roman"/>
          <w:sz w:val="18"/>
          <w:szCs w:val="18"/>
          <w:color w:val="auto"/>
        </w:rPr>
        <w:t>For the year ended December 31, 2023, restructuring expenses were $0.5 million. On June 30, 2022, we ceased operations at our 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Etienne, France factory. The closure resulted in a restructuring charge of $3.1 million for the year ended December 31, 2022. These charges consisted primarily of employment termination costs, impairment of fixed assets and inventory, and third-party costs. For the year ended December 31, 2023, we recorded additional restructuring expenses related to this closure of $0.5 million. The additional expenses consisted primarily of employment termination, settlement, legal, and other third-party costs. As a percentage of sales, restructuring expenses was less than 1% for the year ended December 31, 2023, down from 2% in the prior period.</w:t>
      </w:r>
    </w:p>
    <w:p>
      <w:pPr>
        <w:spacing w:after="0" w:line="182"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a tax provision of $9.4 million on pre-tax income of $39.5 million for the twelve months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$6.9 million on pre-tax income of $27.5 million for the twelve months ended December 31, 2022.</w:t>
      </w:r>
    </w:p>
    <w:p>
      <w:pPr>
        <w:spacing w:after="0" w:line="15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25.3% and 23.7% for the three- and twelve-month periods ended December 31, 2023 respectively. Our tax expense for 2023 is based on an estimated annual effective tax rate of 26.1%, adjusted in the applicable quarterly periods for discrete stock option exercises and other discrete items. Our income tax expense for 2023 varies from the statutory rate mainly due to federal and state tax credits, permanent items, different statutory rates from our foreign entities, and stock option exercises.</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27.8% and 24.9% for the three- and twelve-month periods ended December 31, 2022, respectively. Our 2022 provision was based on an estimated annual effective tax rate of 26.0%, adjusted in the applicable quarterly period for discrete stock option exercises and other discrete items. Our income tax expense for 2022 varied from the statutory rate mainly due to permanent items, different statutory rates from our foreign entities, and stock option exercises.</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a cash tax liability for the 2023 tax year of approximately $0.7 million and an increase in our net deferred tax assets for the 2023 tax year by approximately $0.8 million as a result of the Tax Cuts and Jobs Act of 2017.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February 18, 2025, our Board of Directors authorized the repurchase of up to $75.0 million of the Company’s common stock through transactions on the open market, in privately negotiated purchases or otherwise until February 17, 2026. The repurchase program may be suspended or discontinued at any time. To date we have not made any repurchases under this or any prior program.</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our cash and cash equivalents were $25.6 million as compared to $24.3 million as of December 31, 2023. We had $274.1 million in short-term marketable securities as of December 31, 2024, and $80.8 million as of December 31, 2023. Our cash and cash equivalents are liquid investments with maturities of 90 days or less at the date of purchase and consist primarily of operating bank accounts. Our short-term marketable securities consist of a U.S. government money market fund investing mainly in high-quality, short-term securities that are issued or guaranteed by the U.S. government or by U.S. government agencies and instrumentalities, and a short-duration bond fund. As of December 31, 2024 our short-term marketable securities reflected an unrealized loss of $1.0 million as a result of increasing market interest rates.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December 19, 2024, we issued $172.5 million aggregate principal amount of convertible senior notes due 2030, or the Convertible Notes, in a Rule 144A private placement to qualified institutional buyers pursuant to an indenture dated December 19, 2024, by and between us and U.S. Bank Trust Company, National Association, or the Indenture.</w:t>
      </w:r>
    </w:p>
    <w:p>
      <w:pPr>
        <w:spacing w:after="0" w:line="176" w:lineRule="exact"/>
        <w:rPr>
          <w:sz w:val="20"/>
          <w:szCs w:val="20"/>
          <w:color w:val="auto"/>
        </w:rPr>
      </w:pPr>
    </w:p>
    <w:p>
      <w:pPr>
        <w:ind w:right="340" w:firstLine="324"/>
        <w:spacing w:after="0" w:line="276" w:lineRule="auto"/>
        <w:rPr>
          <w:sz w:val="20"/>
          <w:szCs w:val="20"/>
          <w:color w:val="auto"/>
        </w:rPr>
      </w:pPr>
      <w:r>
        <w:rPr>
          <w:rFonts w:ascii="Times New Roman" w:cs="Times New Roman" w:eastAsia="Times New Roman" w:hAnsi="Times New Roman"/>
          <w:sz w:val="17"/>
          <w:szCs w:val="17"/>
          <w:color w:val="auto"/>
        </w:rPr>
        <w:t>The Convertible Notes will mature on February 1, 2030, unless earlier repurchased, redeemed or converted. The proceeds from the issuance of the Convertible Notes were approximately $167.7 million, net of debt issuance costs totaling $4.8 million. The Convertible Notes bear interest at a rate of</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2.50% per year and interest is payable semiannually in arrears on August 1 and February 1 of each year. The initial conversion rate is 8.3521 shares of common stock per $1,000 principal amount of the Convertible Notes, which represents an initial conversion price of approximately $119.73 per share of common stock and a premium of approximately 30% over the closing price of our common stock on December 16, 2024. The conversion rate and conversion price are subject to customary adjustments upon the occurrence of certain events as described in the Indenture.</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Noteholders may convert all or a portion of their Convertible Notes at their option only in the following circumstances: (1) during any calendar quarter commencing after the calendar quarter ending on June 30, 2025, if the last reported sale price per share of the Company’s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five consecutive trading day period in which the trading price per $1,000 principal amount of Convertible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described in the Indenture; (4) if the Company calls (or is deemed to have called) any Convertible Notes for redemption; and (5) at any time from, and including, August 1, 2029 until the close of business on the second scheduled trading day immediately before the maturity date. The Company has the right to elect to settle conversions either in cash, shares of common stock, or in a combination of cash and shares of its common stock.</w:t>
      </w:r>
    </w:p>
    <w:p>
      <w:pPr>
        <w:spacing w:after="0" w:line="19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Prior to February 5, 2028, the Convertible Notes will not be redeemable. On or after February 5, 2028 until the fortieth scheduled trading day immediately before the maturity date, the Company may redeem for cash all or any portion of the Convertible Notes (subject to the partial redemption limitation set forth in the Indenture), at its option,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In addition, calling any Convertible Note for redemption will constitute a “Make-Whole Fundamental Change” (as defined in the Indenture) with respect to that Convertible Note, in which case the conversion rate applicable to the conversion of that Convertible Note will be increased in certain circumstances if it is converted after it is called for redemption.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require cash to pay our operating expenses, make capital expenditures, and pay our long-term liabilities. Since our inception, we have funded our operations through public offerings and private placements of equity securities, short-term and long-term borrowings, and funds generated from our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operating income of $52.3 million for the year ended December 31, 2024, $36.7 million for the year ended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$26.8 million for the year ended December 31, 2022. We expect to fund any increased costs and expenditures from our existing 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though our future capital requirements depend on numerous factors. These factors include, but are not limited to, the following:</w:t>
      </w:r>
    </w:p>
    <w:p>
      <w:pPr>
        <w:spacing w:after="0" w:line="207"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sales of our products and services;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associated with potential future quarterly cash dividends to our common stockholders;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acquisition-related payments;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associated with income and other taxes;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expanding our manufacturing, marketing, sales, and distribution efforts;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initiatives to sell direct-to-hospital in new countries;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and maintaining FDA and other regulatory clearances;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obtaining European MDR CE mark approvals;</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timing, and nature of acquisitions, divestitures and other strategic transactions, and</w:t>
      </w:r>
    </w:p>
    <w:p>
      <w:pPr>
        <w:spacing w:after="0" w:line="2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share repurchases.</w:t>
      </w:r>
    </w:p>
    <w:p>
      <w:pPr>
        <w:spacing w:after="0" w:line="25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cash, cash equivalents, investments, and the interest we earn on these balances will enable us to fund our operating expenses, capital expenditures requirements, and Convertible Note payments for at least twelve months following the filing of our annual report on Form 10-K and to meet our known long-term cash requirements.</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may need to raise additional funding, which might not be available on desirable terms or at all. See “Item 1A. Risk Factors” in this Annual Report on Form 10-K.</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24,269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19,134</w:t>
            </w:r>
          </w:p>
        </w:tc>
      </w:tr>
      <w:tr>
        <w:trPr>
          <w:trHeight w:val="216"/>
        </w:trPr>
        <w:tc>
          <w:tcPr>
            <w:tcW w:w="3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44,124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36,751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25,378</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(24,715)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(10,371)</w:t>
            </w: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158,102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(9,234)</w:t>
            </w:r>
          </w:p>
        </w:tc>
      </w:tr>
    </w:tbl>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 operating activities. </w:t>
      </w:r>
      <w:r>
        <w:rPr>
          <w:rFonts w:ascii="Times New Roman" w:cs="Times New Roman" w:eastAsia="Times New Roman" w:hAnsi="Times New Roman"/>
          <w:sz w:val="18"/>
          <w:szCs w:val="18"/>
          <w:color w:val="auto"/>
        </w:rPr>
        <w:t>Net cash provided by operating activities was $44.1 million for the year ended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consisting of $44.0 million net income, adjusted for non-cash items of $20.2 million (including primarily depreciation and amortization of $9.7 million, stock-based compensation of $6.6 million, provisions for inventory write-offs and credit losses of $3.9 million, foreign currency transaction effect on income of $0.4 million, and fair value adjustments to contingent consideration obligations of $0.1 million, offset by a provision for deferred income taxes of $0.5 million), as well as cash used for working capital of $20.1 million. The net cash used for working capital was driven by increases in inventory and other deferred costs of $10.6 million, increases in accounts receivable of $6.4 million, increases in prepaid expenses and other assets of $2.3 million, and decreases in accounts payable and other liabilities of $0.8 million.</w:t>
      </w:r>
    </w:p>
    <w:p>
      <w:pPr>
        <w:spacing w:after="0" w:line="187"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$36.8 million for the year ended December 31, 2023, consisting of $30.1 million net income, adjusted for non-cash items of $17.9 million (including primarily depreciation and amortization of $9.5 million, stock-based compensation of $5.3 million, provisions for inventory write-offs and credit losses of $2.6 million, provision for deferred income taxes of $0.8 million, and loss on divestitures of $0.5 million, offset by foreign currency transaction effect on income of $0.7 million and fair value adjustments to contingent consideration obligations for acquisitions of $0.1 million), as well as cash used for working capital of $11.3 million. The net cash used for working capital was driven by increases in inventory and other deferred costs of $9.8 million, increases in accounts receivable of $3.1 million, and increases in prepaid expenses and other assets of $2.9 million, offset by increases in accounts payable and other liabilities of $4.6 million.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$25.4 million for the year ended December 31, 2022, consisting of $20.6 million net income, adjusted for non-cash items of $18.1 million (including primarily depreciation and amortization of $9.4 million, stock-based compensation of $4.2 million, provisions for inventory write-offs and credit losses of $3.2 million, loss on divestitures of $2.0 million, and loss on disposal of fixed assets of $0.1 million, offset by foreign currency transaction effect on income of $0.3 million, benefit for deferred income taxes of $0.2 million, gain on sale of building of $0.1 million, and fair value adjustments to contingent consideration obligations for acquisitions of $0.1 million), as well as cash used for working capital of $13.4 million. The net cash used for working capital was driven by increases in inventory and other deferred costs of $7.4 million, increases in accounts receivable of $3.5 million, and increases in prepaid expenses and other assets of $3.1 million, offset by increases in accounts payable and other liabilities of $0.6 million.</w:t>
      </w:r>
    </w:p>
    <w:p>
      <w:pPr>
        <w:spacing w:after="0" w:line="188" w:lineRule="exact"/>
        <w:rPr>
          <w:sz w:val="20"/>
          <w:szCs w:val="20"/>
          <w:color w:val="auto"/>
        </w:rPr>
      </w:pPr>
    </w:p>
    <w:p>
      <w:pPr>
        <w:ind w:right="3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was $200.1 million for the year ended December 31, 2024,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purchases of marketable securities of $277.9 million and purchases of property and equipment of $7.0 million, offset by proceeds from the sale of marketable securities of $84.8 million.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$24.7 million for the year ended December 31, 2023, consisting of purchases of marketable securities of $16.6 million, purchases of property and equipment of $7.3 million, and acquisition related payments of $0.9 million.</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$10.4 million for the year ended December 31, 2022, consisting of purchases of marketable securities of $8.0 million and purchases of property and equipment of $3.2 million, offset by proceeds from the sale of the St. Etienne, France building of $0.9 million.</w:t>
      </w:r>
    </w:p>
    <w:p>
      <w:pPr>
        <w:spacing w:after="0" w:line="158"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 (used in) financing activities. </w:t>
      </w:r>
      <w:r>
        <w:rPr>
          <w:rFonts w:ascii="Times New Roman" w:cs="Times New Roman" w:eastAsia="Times New Roman" w:hAnsi="Times New Roman"/>
          <w:sz w:val="18"/>
          <w:szCs w:val="18"/>
          <w:color w:val="auto"/>
        </w:rPr>
        <w:t>Net cash provided by financing activities was $158.1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consisting of proceeds from issuance of the Convertible Notes, net of issuance costs paid, of $167.8 million, and proceeds from stock options exercises of $4.7 million, net of shares repurchased used to pay employee payroll taxes. These proceeds of cash were offset by dividend payments of $14.4 million.</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$7.1 million for the year ended December 31, 2023, consisting of dividend payments of $12.4 million, offset by proceeds from stock option exercises of $5.3 million, net of shares repurchased to cover employee payroll taxes.</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$9.2 million for the year ended December 31, 2022, consisting of dividend payments of $11.0 million and deferred payments for acquisitions of $1.1 million, offset by proceeds from stock option exercises of $2.8 million, net of shares repurchased to cover employee payroll taxes.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February 2011, our Board of Directors approved a policy for the payment of quarterly cash dividends on our common stock. Future declarations of quarterly dividends and the establishment of future record and payment dates are subject to approval by our Board of Directors on a quarterly basis. The dividend activity for the periods presented is as follows: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0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7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Amount</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Dividend Payment</w:t>
            </w:r>
          </w:p>
        </w:tc>
      </w:tr>
      <w:tr>
        <w:trPr>
          <w:trHeight w:val="210"/>
        </w:trPr>
        <w:tc>
          <w:tcPr>
            <w:tcW w:w="2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jc w:val="right"/>
              <w:ind w:right="1860"/>
              <w:spacing w:after="0"/>
              <w:rPr>
                <w:sz w:val="20"/>
                <w:szCs w:val="20"/>
                <w:color w:val="auto"/>
              </w:rPr>
            </w:pPr>
            <w:r>
              <w:rPr>
                <w:rFonts w:ascii="Times New Roman" w:cs="Times New Roman" w:eastAsia="Times New Roman" w:hAnsi="Times New Roman"/>
                <w:sz w:val="18"/>
                <w:szCs w:val="18"/>
                <w:color w:val="auto"/>
                <w:w w:val="97"/>
              </w:rPr>
              <w:t>Fiscal Year 2024</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14, 2024</w:t>
            </w: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March 28, 2024</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3,589</w:t>
            </w:r>
          </w:p>
        </w:tc>
      </w:tr>
      <w:tr>
        <w:trPr>
          <w:trHeight w:val="216"/>
        </w:trPr>
        <w:tc>
          <w:tcPr>
            <w:tcW w:w="3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16, 2024</w:t>
            </w: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May 30, 2024</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3,593</w:t>
            </w:r>
          </w:p>
        </w:tc>
      </w:tr>
      <w:tr>
        <w:trPr>
          <w:trHeight w:val="216"/>
        </w:trPr>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15, 2024</w:t>
            </w: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August 29, 2024</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3,596</w:t>
            </w:r>
          </w:p>
        </w:tc>
      </w:tr>
      <w:tr>
        <w:trPr>
          <w:trHeight w:val="216"/>
        </w:trPr>
        <w:tc>
          <w:tcPr>
            <w:tcW w:w="3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November 21, 2024</w:t>
            </w: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December 5, 2024</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3,600</w:t>
            </w:r>
          </w:p>
        </w:tc>
      </w:t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jc w:val="right"/>
              <w:ind w:right="1860"/>
              <w:spacing w:after="0"/>
              <w:rPr>
                <w:sz w:val="20"/>
                <w:szCs w:val="20"/>
                <w:color w:val="auto"/>
              </w:rPr>
            </w:pPr>
            <w:r>
              <w:rPr>
                <w:rFonts w:ascii="Times New Roman" w:cs="Times New Roman" w:eastAsia="Times New Roman" w:hAnsi="Times New Roman"/>
                <w:sz w:val="18"/>
                <w:szCs w:val="18"/>
                <w:color w:val="auto"/>
                <w:w w:val="97"/>
              </w:rPr>
              <w:t>Fiscal Year 2023</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9, 2023</w:t>
            </w: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March 23, 2023</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3,099</w:t>
            </w:r>
          </w:p>
        </w:tc>
      </w:tr>
      <w:tr>
        <w:trPr>
          <w:trHeight w:val="216"/>
        </w:trPr>
        <w:tc>
          <w:tcPr>
            <w:tcW w:w="3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17, 2023</w:t>
            </w: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June 1, 2023</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3,116</w:t>
            </w:r>
          </w:p>
        </w:tc>
      </w:tr>
      <w:tr>
        <w:trPr>
          <w:trHeight w:val="216"/>
        </w:trPr>
        <w:tc>
          <w:tcPr>
            <w:tcW w:w="3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17, 2023</w:t>
            </w: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August 31, 2023</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3,117</w:t>
            </w:r>
          </w:p>
        </w:tc>
      </w:tr>
      <w:tr>
        <w:trPr>
          <w:trHeight w:val="216"/>
        </w:trPr>
        <w:tc>
          <w:tcPr>
            <w:tcW w:w="3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November 16, 2023</w:t>
            </w: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November 30, 2023</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3,117</w:t>
            </w: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February 18, 2025, our Board of Directors approved a quarterly cash dividend on our common stock of $0.20 per share payable on March 27, 2025, to stockholders of record at the close of business on March 13, 2025, which will total approximately $4.5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or GAAP. The preparation of our consolidated financial statements and related disclosures require us to make estimates, assumptions and judgements that affect the reported amounts of assets, liabilities, sales, costs and expenses, and related disclosures. We evaluate our estimates on an ongoing basis. Our actual results may differ from these estimates under different assumptions or conditions.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1 to our consolidated financial statements included in this Annual Report on Form 10-K, we believe that the following accounting policies are those most critical to the judgements and estimates used in the preparation of our consolidated financial statements.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Inventory and Other Deferred Costs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Inventory and Other Deferred Costs consists of finished products, work-in-process, raw materials, and costs deferred in connection with human tissue cryopreservation services of our RestoreFlow allograft business. We value inventory and other deferred costs at the lower of cost or market value. Cost includes materials, labor and manufacturing overhead and is determined using the first-in, first-out, or FIFO, method. On a quarterly basis, we review inventory quantities on hand and analyze the provision for excess and obsolete inventory based primarily on product expiration date and our estimated sales forecast, which is based on sales history and anticipated future demand. Our estimates of future product demand may not be accurate, and we may understate or overstate the provision required for excess and obsolete inventory. Accordingly, any significant unanticipated changes in demand could have a significant impact on the value of our inventory and results of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Intangible Assets and Goodwill</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Intangible assets consist primarily of purchased developed technology, patents, customer relationships, and trademarks, and are amortized over their estimated useful lives, ranging from 2 to 16 years. Goodwill represents the amount of consideration paid in connection with business acquisitions in excess of the fair value of assets acquired and liabilities assumed. We generally calculate the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These estimates and assumptions require significant judgment, and actual results may differ from assumed or estimated amounts. Other intangible assets, net of accumulated amortization, were $35.8 million as of December 31, 2024 and $41.7 million as of December 31, 2023. Goodwill was $65.9 million as of December 31, 2024 and 2023.</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are subject to proceedings, lawsuits, and other claims and assessments for matters related to, among other things, business acquisitions, employment, commercial matters, intellectual property matters, product liability, and product recalls. We assess the likelihood of any adverse judgments or outcomes to these matters as well as potential ranges of probable losses. A determination of the amount of reserves required, if any, for these contingencies is made after careful analysis of each individual issue. The required reserves may change in the future due to new developments in each matter or changes in approach such as a change in settlement strategy in dealing with these matters. We record charges for the costs we anticipate incurring in connection with litigation and claims against us when we determine a loss is probable and we can reasonably estimate these costs. During the years ended December 31, 2024, 2023, and 2022, we were not subject to any material litigation, claims, or assessments.</w:t>
      </w:r>
    </w:p>
    <w:p>
      <w:pPr>
        <w:spacing w:after="0" w:line="18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certain of our acquisitions, we may enter into agreements to pay additional future consideration upon the satisfaction of certain agreed-upon criteria. We record liabilities for these arrangements at estimated fair value reflecting management’s assumptions of the likelihood of achieving the specified criteria at the time of the closing, which may require significant judgment. These amounts are remeasured each reporting period, with any adjustments recorded in income from operations.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of accounting for income taxes. Under the asset and liability method, deferred taxes are determined based on the difference between the financial reporting and tax bases of assets and liabilities using enacted tax rates in effect in the years in which the differences are expected to reverse. The provision for income taxes includes taxes currently payable and deferred taxes resulting from the tax effects of temporary differences between the financial statement and tax bases of assets and liabilities. We maintain valuation allowances where it is more likely than not that all or a portion of a deferred tax asset will not be realized. Changes in the valuation allowances are included in our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recognize, measure, present and disclose in our financial statements uncertain tax positions that we have taken or expect to take on a tax return. We recognize in our financial statements the impact of tax positions that meet a “more likely than not” threshold, based on the technical merits of the position. The tax benefits recognized in the financial statements from such a position are measured based on the largest benefit that has a greater than fifty percent likelihood of being realized upon ultimate settlement.</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See Note 1 “Significant Accounting Policies and Related Matters” of the Notes to the Consolidated Financial Statements in Item 8 “Financial Statements and Supplementary Data” for additional information regarding recent accounting pronouncements, including the respective expected dates of adoption and estimated effects, if any, on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We transact sales in currencies other than the U.S. Dollar, particularly the Euro, British pound, Canadian dollar and Japanese yen. Approximately 41% of our sales in fiscal year 2024 were denominated in foreign currencies. In addition, a significant portion of our operating costs incurred outside the United States are denominated in currencies other than the U.S. dollar. We conduct business on a worldwide basis and as a result, a portion of our revenue, earnings, net assets, and net investments in foreign affiliates is exposed to changes in foreign currency exchange rates. We measure our net exposure for cash balance positions and for cash inflows and outflows in order to evaluate the need to mitigate our foreign exchange risk. We may enter into foreign currency forward contracts to minimize the impact related to unfavorable exchange rate movements, although we did not do so during 2024 or 2023.</w:t>
      </w:r>
    </w:p>
    <w:p>
      <w:pPr>
        <w:spacing w:after="0" w:line="173"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During the years ended December 31, 2024 and 2023, we recorded $0.1 million and $0.3 million of net foreign currency exchange losses, respectively, related to the settlement and remeasurement of transactions denominated in currencies other than the functional currency of our operating subsidiaries.</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cash, cash equivalents and short-term marketable securities as of December 31, 2024 consisted of $300.0 million in bank deposits, U.S. government money market fund, and a short-duration bond fund. Such interest-earning instruments carry a degree of interest rate risk. However, we believe that our exposure to interest rate risk is not significant as the majority of our investments are short-term in duration and, due to the low risk profile of our investments, a change in market rates would not have a material impact on our financial statements. The goal of our investments are liquidity and capital preservation; we do not enter into investments for trading or speculative purposes and have not used any derivative financial instruments to manage our interest rate exposure. As of December 31, 2024, our short-term marketable securities reflected an unrealized loss of $1.0 million as a result of increasing market interest rates.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 “Significant Accounting Policies and Related Matters” of the Notes to the Consolidated Financial Statements.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supplementary data required by Part II, Item 8 are included in Part IV of this report and indexed under Item 15 (a) (1) and (2) of this report, and are incorporated by reference into this Item 8.</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or CEO, and our Chief Financial Officer, or CFO, has evaluated the effectiveness of the design and operation of our disclosure controls and procedures (as defined in Rules 13a-15(e) and 15d-15(e) under the Exchange Act) as of December 31, 2024. Based on that evaluation, our CEO and CFO concluded that, as of December 31, 2024, our disclosure controls and procedures were effective to provide reasonable assurance that the information required to be disclosed by us in reports filed under the Exchange Act, is recorded, processed, summarized and reported within the time periods specified in the SEC rules and forms and is accumulated and communicated to management, including our CEO and CFO, as appropriate to allow timely decisions regarding required disclosure.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Internal Controls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Further, no evaluation of controls can provide absolute assurance that misstatements due to error or fraud will not occur or that all control issues and instances of fraud, if any, within our company have been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Company’s internal control over financial reporting is designed to provide reasonable assurance regarding the reliability of financial reporting and the preparation of financial statements for external purposes in accordance with GAAP.</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our management conducted an assessment of the effectiveness of the Company’s internal control over financial reporting based upon the criteria set forth by the Committee of Sponsoring Organizations of the Treadway Commission, or COSO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management’s assessment utilizing these criteria, our management concluded that, as of December 31, 2024, our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As previously disclosed, in February 2024 we began implementing a new ERP system. The ERP implementation requires the integration of new ERP software with multiple new data flows and business processes. The new ERP is designed to accurately maintain our books and records and provide information to our management teams which is important to the operations of the business. As the phased implementation of the new ERP system progresses, we expect to continue to change certain processes and procedures which, in turn, are expected to result in changes to our internal control over financial reporting. As such changes occur, we will evaluate quarterly whether such changes materially affect our internal control over financial reporting.</w:t>
      </w:r>
    </w:p>
    <w:p>
      <w:pPr>
        <w:spacing w:after="0" w:line="16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Other than the new ERP system implementation, there have been no changes to our internal control over financial reporting during the fiscal year ended December 31, 2024, that have materially affected, or are reasonably likely to materially affect, our internal control over financial reporting.</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LeMaitre Vascular,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LeMaitre Vascular, Inc (a Delaware corporation) and subsidiaries (the “Company”) as of December 31, 2024,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2024, based on criteria established in the 2013 Internal Control—Integrated Framework issued by COSO.</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February 28,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officers adopted, modified or terminated a Rule 10b5-1 trading arrangement or non-Rule 10b5-1 trading arrangement, as those terms are defined in Regulation S-K, Item 408.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responsive to this item is incorporated by reference herein from the information to be contained in the sections entitled “Directors, Executive Officers and Key Employees,” “Corporate Governance,” “Meetings and Committees of the Board of Directors,” and “Insider Trading Policies and Procedures” in our 2025 definitive proxy statement for the 2025 annual meeting of stockholders to be filed with the Securities and Exchange Commission within 120 days after the fiscal year ended December 31, 2024.</w:t>
      </w:r>
    </w:p>
    <w:p>
      <w:pPr>
        <w:spacing w:after="0" w:line="18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compliance with Section 16(a) of the Exchange Act is incorporated herein by reference from the information contained in the section entitled “Delinquent Section 16(a) Reports” in our 2025 definitive proxy statement, to the extent required to be included.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Certain documents relating to our corporate governance, including our Code of Business Conduct and Ethics, which is applicable to our directors, officers, and employees, and the charters of the Audit Committee, Compensation Committee, and Corporate Governance and Nominating Committee of our Board of Directors, are available on our website at </w:t>
      </w:r>
      <w:r>
        <w:rPr>
          <w:rFonts w:ascii="Times New Roman" w:cs="Times New Roman" w:eastAsia="Times New Roman" w:hAnsi="Times New Roman"/>
          <w:sz w:val="18"/>
          <w:szCs w:val="18"/>
          <w:i w:val="1"/>
          <w:iCs w:val="1"/>
          <w:color w:val="auto"/>
        </w:rPr>
        <w:t>http://www.lemaitre.com</w:t>
      </w:r>
      <w:r>
        <w:rPr>
          <w:rFonts w:ascii="Times New Roman" w:cs="Times New Roman" w:eastAsia="Times New Roman" w:hAnsi="Times New Roman"/>
          <w:sz w:val="18"/>
          <w:szCs w:val="18"/>
          <w:color w:val="auto"/>
        </w:rPr>
        <w:t xml:space="preserve">. We intend to disclose substantive amendments to or waivers (including implicit waivers) of any provision of the Code of Business Conduct and Ethics that apply to our principal executive officer, principal financial officer, principal accounting officer, or controller, or persons performing similar functions, by posting such information on our website available at </w:t>
      </w:r>
      <w:r>
        <w:rPr>
          <w:rFonts w:ascii="Times New Roman" w:cs="Times New Roman" w:eastAsia="Times New Roman" w:hAnsi="Times New Roman"/>
          <w:sz w:val="18"/>
          <w:szCs w:val="18"/>
          <w:i w:val="1"/>
          <w:iCs w:val="1"/>
          <w:color w:val="auto"/>
        </w:rPr>
        <w:t>http://www.lemaitre.com.</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from the information to be contained in the section entitled “Compensation of Executive Officers and Directors” in our 2025 definitive proxy statement.</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from the information to be contained in the section entitled “Security Ownership of Certain Beneficial Owners and Management” in our 2025 definitive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equity compensation plans in effect as of December 31, 2024. Each of our equity compensation plans is an “employee benefit plan” as defined by Rule 405 of Regulation C of the Securities Act of 1933, as amended.</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securities</w:t>
            </w: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remaining available</w:t>
            </w: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 future issuance</w:t>
            </w: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under equity</w:t>
            </w: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 be issued upon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compensation plans,</w:t>
            </w: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exercise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exercise price of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excluding securities</w:t>
            </w:r>
          </w:p>
        </w:tc>
      </w:tr>
      <w:tr>
        <w:trPr>
          <w:trHeight w:val="216"/>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20" w:type="dxa"/>
            <w:vAlign w:val="bottom"/>
          </w:tcPr>
          <w:p>
            <w:pPr>
              <w:spacing w:after="0"/>
              <w:rPr>
                <w:sz w:val="18"/>
                <w:szCs w:val="18"/>
                <w:color w:val="auto"/>
              </w:rPr>
            </w:pP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reflected in column</w:t>
            </w:r>
          </w:p>
        </w:tc>
      </w:tr>
      <w:tr>
        <w:trPr>
          <w:trHeight w:val="234"/>
        </w:trPr>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 category</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0"/>
                <w:szCs w:val="20"/>
                <w:color w:val="auto"/>
              </w:rPr>
            </w:pPr>
          </w:p>
        </w:tc>
      </w:tr>
      <w:tr>
        <w:trPr>
          <w:trHeight w:val="426"/>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compensation plans approved by security holders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885,503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1,105,266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 compensation plans not approved by security holders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885,503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1,105,266</w:t>
            </w: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80"/>
          </w:cols>
          <w:pgMar w:left="320" w:top="121" w:right="399" w:bottom="1440" w:gutter="0" w:footer="0" w:header="0"/>
        </w:sect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responsive to this item is incorporated herein by reference from the information to be contained in the sections entitled “Certain Relationships and Related Transactions” and “Corporate Governance” in our 2025 definitive proxy statement.</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from the information to be contained in the sections entitled “Ratification of Independent Registered Public Accounting Firm” and “Additional Information Regarding Our Independent Registered Public Accounting Firm” in our 2025 definitive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are filed herewith in Item 8 of Part II above.</w:t>
      </w:r>
    </w:p>
    <w:p>
      <w:pPr>
        <w:spacing w:after="0" w:line="252"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Stockholders’ Equity</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3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required information is shown in the financial statements or notes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2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60" w:type="dxa"/>
            <w:vAlign w:val="bottom"/>
            <w:tcBorders>
              <w:top w:val="single" w:sz="8" w:color="0000EE"/>
              <w:bottom w:val="single" w:sz="8" w:color="0000EE"/>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8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SEC File</w:t>
            </w: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52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0" w:type="dxa"/>
            <w:vAlign w:val="bottom"/>
          </w:tcPr>
          <w:p>
            <w:pPr>
              <w:spacing w:after="0"/>
              <w:rPr>
                <w:sz w:val="20"/>
                <w:szCs w:val="20"/>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 w:type="dxa"/>
            <w:vAlign w:val="bottom"/>
          </w:tcPr>
          <w:p>
            <w:pPr>
              <w:spacing w:after="0"/>
              <w:rPr>
                <w:sz w:val="20"/>
                <w:szCs w:val="20"/>
                <w:color w:val="auto"/>
              </w:rPr>
            </w:pPr>
          </w:p>
        </w:tc>
        <w:tc>
          <w:tcPr>
            <w:tcW w:w="1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0" w:type="dxa"/>
            <w:vAlign w:val="bottom"/>
          </w:tcPr>
          <w:p>
            <w:pPr>
              <w:spacing w:after="0"/>
              <w:rPr>
                <w:sz w:val="20"/>
                <w:szCs w:val="20"/>
                <w:color w:val="auto"/>
              </w:rPr>
            </w:pP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38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5220" w:type="dxa"/>
            <w:vAlign w:val="bottom"/>
            <w:gridSpan w:val="8"/>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Asset Purchase Agreement dated October 11, 2019 between the</w:t>
              </w:r>
            </w:hyperlink>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3/12/20</w:t>
            </w:r>
          </w:p>
        </w:tc>
        <w:tc>
          <w:tcPr>
            <w:tcW w:w="14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001-33092</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20" w:type="dxa"/>
            <w:vAlign w:val="bottom"/>
            <w:gridSpan w:val="8"/>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Registrant and Admedus Ltd (now known as Anteris Technologies Ltd)</w:t>
              </w:r>
            </w:hyperlink>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and certain of its subsidiaries</w:t>
              </w:r>
            </w:hyperlink>
          </w:p>
        </w:tc>
        <w:tc>
          <w:tcPr>
            <w:tcW w:w="3040" w:type="dxa"/>
            <w:vAlign w:val="bottom"/>
            <w:tcBorders>
              <w:top w:val="single" w:sz="8" w:color="0000EE"/>
            </w:tcBorders>
            <w:gridSpan w:val="5"/>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48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Amendment No. 1 to Asset Purchase Agreement dated October 11,</w:t>
              </w:r>
            </w:hyperlink>
          </w:p>
        </w:tc>
        <w:tc>
          <w:tcPr>
            <w:tcW w:w="400" w:type="dxa"/>
            <w:vAlign w:val="bottom"/>
            <w:gridSpan w:val="3"/>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9/1/21</w:t>
            </w:r>
          </w:p>
        </w:tc>
        <w:tc>
          <w:tcPr>
            <w:tcW w:w="14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001-33092</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20" w:type="dxa"/>
            <w:vAlign w:val="bottom"/>
            <w:gridSpan w:val="8"/>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2019 between the Registrant and Admedus Ltd (now known as Anteris</w:t>
              </w:r>
            </w:hyperlink>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Technologies Ltd) and certain of its subsidiaries.</w:t>
              </w:r>
            </w:hyperlink>
          </w:p>
        </w:tc>
        <w:tc>
          <w:tcPr>
            <w:tcW w:w="160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5180" w:type="dxa"/>
            <w:vAlign w:val="bottom"/>
            <w:gridSpan w:val="20"/>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Asset Purchase Agreement, dated June 22, 2020, by and between the</w:t>
              </w:r>
            </w:hyperlink>
          </w:p>
        </w:tc>
      </w:tr>
      <w:tr>
        <w:trPr>
          <w:trHeight w:val="196"/>
        </w:trPr>
        <w:tc>
          <w:tcPr>
            <w:tcW w:w="1040" w:type="dxa"/>
            <w:vAlign w:val="bottom"/>
          </w:tcPr>
          <w:p>
            <w:pPr>
              <w:spacing w:after="0"/>
              <w:rPr>
                <w:sz w:val="17"/>
                <w:szCs w:val="17"/>
                <w:color w:val="auto"/>
              </w:rPr>
            </w:pPr>
          </w:p>
        </w:tc>
        <w:tc>
          <w:tcPr>
            <w:tcW w:w="49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Company and Artegraft, Inc.</w:t>
              </w:r>
            </w:hyperlink>
          </w:p>
        </w:tc>
        <w:tc>
          <w:tcPr>
            <w:tcW w:w="24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Amended and Restated By-laws of the Registrant</w:t>
              </w:r>
            </w:hyperlink>
          </w:p>
        </w:tc>
        <w:tc>
          <w:tcPr>
            <w:tcW w:w="1620" w:type="dxa"/>
            <w:vAlign w:val="bottom"/>
            <w:gridSpan w:val="12"/>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Second Amended and Restated Certificate of Incorporation of the</w:t>
              </w:r>
            </w:hyperlink>
          </w:p>
        </w:tc>
        <w:tc>
          <w:tcPr>
            <w:tcW w:w="44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Registrant</w:t>
              </w:r>
            </w:hyperlink>
          </w:p>
        </w:tc>
        <w:tc>
          <w:tcPr>
            <w:tcW w:w="4440" w:type="dxa"/>
            <w:vAlign w:val="bottom"/>
            <w:gridSpan w:val="19"/>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Amendment to Second Amended and Restated Certificate of</w:t>
              </w:r>
            </w:hyperlink>
          </w:p>
        </w:tc>
        <w:tc>
          <w:tcPr>
            <w:tcW w:w="82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Incorporation of the Registrant</w:t>
              </w:r>
            </w:hyperlink>
          </w:p>
        </w:tc>
        <w:tc>
          <w:tcPr>
            <w:tcW w:w="2960" w:type="dxa"/>
            <w:vAlign w:val="bottom"/>
            <w:gridSpan w:val="15"/>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Specimen Certificate evidencing shares of common stock</w:t>
              </w:r>
            </w:hyperlink>
          </w:p>
        </w:tc>
        <w:tc>
          <w:tcPr>
            <w:tcW w:w="1040" w:type="dxa"/>
            <w:vAlign w:val="bottom"/>
            <w:gridSpan w:val="10"/>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Description of Securities Registered pursuant to Section 12 of the</w:t>
              </w:r>
            </w:hyperlink>
          </w:p>
        </w:tc>
        <w:tc>
          <w:tcPr>
            <w:tcW w:w="4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Securities Exchange Act of 1934, as amended</w:t>
              </w:r>
            </w:hyperlink>
          </w:p>
        </w:tc>
        <w:tc>
          <w:tcPr>
            <w:tcW w:w="1880" w:type="dxa"/>
            <w:vAlign w:val="bottom"/>
            <w:gridSpan w:val="14"/>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1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Indenture, dated as of December 19, 2024, between LeMaitre Vascular,</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180" w:type="dxa"/>
            <w:vAlign w:val="bottom"/>
            <w:gridSpan w:val="20"/>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 and U.S. Bank Trust Company, National Association, as trustee</w:t>
              </w:r>
            </w:hyperlink>
          </w:p>
        </w:tc>
      </w:tr>
      <w:tr>
        <w:trPr>
          <w:trHeight w:val="20"/>
        </w:trPr>
        <w:tc>
          <w:tcPr>
            <w:tcW w:w="10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180" w:type="dxa"/>
            <w:vAlign w:val="bottom"/>
            <w:gridSpan w:val="20"/>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certificate representing the 2.50% Convertible Senior Notes</w:t>
              </w:r>
            </w:hyperlink>
          </w:p>
        </w:tc>
      </w:tr>
      <w:tr>
        <w:trPr>
          <w:trHeight w:val="196"/>
        </w:trPr>
        <w:tc>
          <w:tcPr>
            <w:tcW w:w="10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due 2030 (included as Exhibit A to Exhibit 4.1)</w:t>
              </w:r>
            </w:hyperlink>
          </w:p>
        </w:tc>
        <w:tc>
          <w:tcPr>
            <w:tcW w:w="1500" w:type="dxa"/>
            <w:vAlign w:val="bottom"/>
            <w:tcBorders>
              <w:top w:val="single" w:sz="8" w:color="0000EE"/>
            </w:tcBorders>
            <w:gridSpan w:val="8"/>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180" w:type="dxa"/>
            <w:vAlign w:val="bottom"/>
            <w:gridSpan w:val="20"/>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Director Compensation Policy</w:t>
              </w:r>
            </w:hyperlink>
          </w:p>
        </w:tc>
      </w:tr>
      <w:tr>
        <w:trPr>
          <w:trHeight w:val="20"/>
        </w:trPr>
        <w:tc>
          <w:tcPr>
            <w:tcW w:w="10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180" w:type="dxa"/>
            <w:vAlign w:val="bottom"/>
            <w:gridSpan w:val="20"/>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Executive Retention and Severance Agreement dated October 10, 2005,</w:t>
              </w:r>
            </w:hyperlink>
          </w:p>
        </w:tc>
      </w:tr>
      <w:tr>
        <w:trPr>
          <w:trHeight w:val="196"/>
        </w:trPr>
        <w:tc>
          <w:tcPr>
            <w:tcW w:w="1040" w:type="dxa"/>
            <w:vAlign w:val="bottom"/>
          </w:tcPr>
          <w:p>
            <w:pPr>
              <w:spacing w:after="0"/>
              <w:rPr>
                <w:sz w:val="17"/>
                <w:szCs w:val="17"/>
                <w:color w:val="auto"/>
              </w:rPr>
            </w:pPr>
          </w:p>
        </w:tc>
        <w:tc>
          <w:tcPr>
            <w:tcW w:w="51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by and between the Registrant and George W. LeMaitre</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100" w:type="dxa"/>
            <w:vAlign w:val="bottom"/>
            <w:gridSpan w:val="7"/>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180" w:type="dxa"/>
            <w:vAlign w:val="bottom"/>
            <w:gridSpan w:val="20"/>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First Amendment to Executive Retention and Severance Agreement</w:t>
              </w:r>
            </w:hyperlink>
          </w:p>
        </w:tc>
      </w:tr>
      <w:tr>
        <w:trPr>
          <w:trHeight w:val="20"/>
        </w:trPr>
        <w:tc>
          <w:tcPr>
            <w:tcW w:w="10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980" w:type="dxa"/>
            <w:vAlign w:val="bottom"/>
            <w:gridSpan w:val="1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180" w:type="dxa"/>
            <w:vAlign w:val="bottom"/>
            <w:gridSpan w:val="20"/>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dated December 23, 2008, by and between the Registrant and George</w:t>
              </w:r>
            </w:hyperlink>
          </w:p>
        </w:tc>
      </w:tr>
      <w:tr>
        <w:trPr>
          <w:trHeight w:val="196"/>
        </w:trPr>
        <w:tc>
          <w:tcPr>
            <w:tcW w:w="1040" w:type="dxa"/>
            <w:vAlign w:val="bottom"/>
          </w:tcPr>
          <w:p>
            <w:pPr>
              <w:spacing w:after="0"/>
              <w:rPr>
                <w:sz w:val="17"/>
                <w:szCs w:val="17"/>
                <w:color w:val="auto"/>
              </w:rPr>
            </w:pPr>
          </w:p>
        </w:tc>
        <w:tc>
          <w:tcPr>
            <w:tcW w:w="49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W. LeMaitre</w:t>
              </w:r>
            </w:hyperlink>
          </w:p>
        </w:tc>
        <w:tc>
          <w:tcPr>
            <w:tcW w:w="20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6/24/20</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5/26/06</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3/29/10</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6/15/12</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6/22/06</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333-133532</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3/12/20</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12/19/24</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12/19/24</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8/5/21</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5/26/06</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333-133532</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3/31/09</w:t>
            </w: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001-33092</w:t>
            </w:r>
          </w:p>
        </w:tc>
      </w:tr>
    </w:tbl>
    <w:p>
      <w:pPr>
        <w:spacing w:after="0" w:line="605" w:lineRule="exact"/>
        <w:rPr>
          <w:sz w:val="20"/>
          <w:szCs w:val="20"/>
          <w:color w:val="auto"/>
        </w:rPr>
      </w:pPr>
    </w:p>
    <w:p>
      <w:pPr>
        <w:sectPr>
          <w:pgSz w:w="11900" w:h="16838" w:orient="portrait"/>
          <w:cols w:equalWidth="0" w:num="2">
            <w:col w:w="6220" w:space="120"/>
            <w:col w:w="4900"/>
          </w:cols>
          <w:pgMar w:left="320" w:top="108"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Employment Agreement dated June 20, 2006, by and between the</w:t>
              </w:r>
            </w:hyperlink>
          </w:p>
        </w:tc>
        <w:tc>
          <w:tcPr>
            <w:tcW w:w="520" w:type="dxa"/>
            <w:vAlign w:val="bottom"/>
            <w:gridSpan w:val="4"/>
          </w:tcPr>
          <w:p>
            <w:pPr>
              <w:spacing w:after="0"/>
              <w:rPr>
                <w:sz w:val="18"/>
                <w:szCs w:val="18"/>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6/22/06</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333-133532</w:t>
            </w:r>
          </w:p>
        </w:tc>
      </w:tr>
      <w:tr>
        <w:trPr>
          <w:trHeight w:val="196"/>
        </w:trPr>
        <w:tc>
          <w:tcPr>
            <w:tcW w:w="1040" w:type="dxa"/>
            <w:vAlign w:val="bottom"/>
          </w:tcPr>
          <w:p>
            <w:pPr>
              <w:spacing w:after="0"/>
              <w:rPr>
                <w:sz w:val="17"/>
                <w:szCs w:val="17"/>
                <w:color w:val="auto"/>
              </w:rPr>
            </w:pPr>
          </w:p>
        </w:tc>
        <w:tc>
          <w:tcPr>
            <w:tcW w:w="5260" w:type="dxa"/>
            <w:vAlign w:val="bottom"/>
            <w:gridSpan w:val="1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Registrant and David Roberts</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60" w:type="dxa"/>
            <w:vAlign w:val="bottom"/>
            <w:gridSpan w:val="11"/>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First Amendment to Employment Agreement dated December 19, 2008,</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3/31/09</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001-33092</w:t>
            </w:r>
          </w:p>
        </w:tc>
      </w:tr>
      <w:tr>
        <w:trPr>
          <w:trHeight w:val="196"/>
        </w:trPr>
        <w:tc>
          <w:tcPr>
            <w:tcW w:w="1040" w:type="dxa"/>
            <w:vAlign w:val="bottom"/>
          </w:tcPr>
          <w:p>
            <w:pPr>
              <w:spacing w:after="0"/>
              <w:rPr>
                <w:sz w:val="17"/>
                <w:szCs w:val="17"/>
                <w:color w:val="auto"/>
              </w:rPr>
            </w:pPr>
          </w:p>
        </w:tc>
        <w:tc>
          <w:tcPr>
            <w:tcW w:w="52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by and between the Registrant and David Roberts</w:t>
              </w:r>
            </w:hyperlink>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60" w:type="dxa"/>
            <w:vAlign w:val="bottom"/>
            <w:gridSpan w:val="11"/>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Employment Agreement dated April 20, 2006, by and between the</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6/22/06</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333-133532</w:t>
            </w:r>
          </w:p>
        </w:tc>
      </w:tr>
      <w:tr>
        <w:trPr>
          <w:trHeight w:val="196"/>
        </w:trPr>
        <w:tc>
          <w:tcPr>
            <w:tcW w:w="1040" w:type="dxa"/>
            <w:vAlign w:val="bottom"/>
          </w:tcPr>
          <w:p>
            <w:pPr>
              <w:spacing w:after="0"/>
              <w:rPr>
                <w:sz w:val="17"/>
                <w:szCs w:val="17"/>
                <w:color w:val="auto"/>
              </w:rPr>
            </w:pPr>
          </w:p>
        </w:tc>
        <w:tc>
          <w:tcPr>
            <w:tcW w:w="47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Registrant and Joseph P. Pellegrino</w:t>
              </w:r>
            </w:hyperlink>
          </w:p>
        </w:tc>
        <w:tc>
          <w:tcPr>
            <w:tcW w:w="4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60" w:type="dxa"/>
            <w:vAlign w:val="bottom"/>
            <w:gridSpan w:val="11"/>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First Amendment to Employment Agreement dated December 19, 2008,</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3/31/09</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001-33092</w:t>
            </w:r>
          </w:p>
        </w:tc>
      </w:tr>
      <w:tr>
        <w:trPr>
          <w:trHeight w:val="196"/>
        </w:trPr>
        <w:tc>
          <w:tcPr>
            <w:tcW w:w="1040" w:type="dxa"/>
            <w:vAlign w:val="bottom"/>
          </w:tcPr>
          <w:p>
            <w:pPr>
              <w:spacing w:after="0"/>
              <w:rPr>
                <w:sz w:val="17"/>
                <w:szCs w:val="17"/>
                <w:color w:val="auto"/>
              </w:rPr>
            </w:pPr>
          </w:p>
        </w:tc>
        <w:tc>
          <w:tcPr>
            <w:tcW w:w="52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by and between the Registrant and Joseph P. Pellegrino</w:t>
              </w:r>
            </w:hyperlink>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LeMaitre Vascular, Inc. Offer Letter to Dorian LeBlanc</w:t>
              </w:r>
            </w:hyperlink>
          </w:p>
        </w:tc>
        <w:tc>
          <w:tcPr>
            <w:tcW w:w="1280" w:type="dxa"/>
            <w:vAlign w:val="bottom"/>
            <w:gridSpan w:val="5"/>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2/13/25</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001-33092</w:t>
            </w: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8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Indemnification Agreement between the Registrant and its</w:t>
              </w:r>
            </w:hyperlink>
          </w:p>
        </w:tc>
        <w:tc>
          <w:tcPr>
            <w:tcW w:w="420" w:type="dxa"/>
            <w:vAlign w:val="bottom"/>
            <w:gridSpan w:val="2"/>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5/26/06</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333-133532</w:t>
            </w:r>
          </w:p>
        </w:tc>
      </w:tr>
      <w:tr>
        <w:trPr>
          <w:trHeight w:val="196"/>
        </w:trPr>
        <w:tc>
          <w:tcPr>
            <w:tcW w:w="1040" w:type="dxa"/>
            <w:vAlign w:val="bottom"/>
          </w:tcPr>
          <w:p>
            <w:pPr>
              <w:spacing w:after="0"/>
              <w:rPr>
                <w:sz w:val="17"/>
                <w:szCs w:val="17"/>
                <w:color w:val="auto"/>
              </w:rPr>
            </w:pPr>
          </w:p>
        </w:tc>
        <w:tc>
          <w:tcPr>
            <w:tcW w:w="2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directors and executive officers</w:t>
              </w:r>
            </w:hyperlink>
          </w:p>
        </w:tc>
        <w:tc>
          <w:tcPr>
            <w:tcW w:w="30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6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Northwest Park Lease dated March 31, 2003, by and between the Registrant</w:t>
              </w:r>
            </w:hyperlink>
          </w:p>
        </w:tc>
        <w:tc>
          <w:tcPr>
            <w:tcW w:w="280" w:type="dxa"/>
            <w:vAlign w:val="bottom"/>
            <w:gridSpan w:val="10"/>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860" w:type="dxa"/>
            <w:vAlign w:val="bottom"/>
          </w:tcPr>
          <w:p>
            <w:pPr>
              <w:spacing w:after="0"/>
              <w:rPr>
                <w:sz w:val="17"/>
                <w:szCs w:val="17"/>
                <w:color w:val="auto"/>
              </w:rPr>
            </w:pPr>
          </w:p>
        </w:tc>
        <w:tc>
          <w:tcPr>
            <w:tcW w:w="5760" w:type="dxa"/>
            <w:vAlign w:val="bottom"/>
            <w:gridSpan w:val="24"/>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and Roger P. Nordblom and Peter C. Nordblom, as Trustees of Northwest</w:t>
              </w:r>
            </w:hyperlink>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Associates, as amended</w:t>
              </w:r>
            </w:hyperlink>
          </w:p>
        </w:tc>
        <w:tc>
          <w:tcPr>
            <w:tcW w:w="3560" w:type="dxa"/>
            <w:vAlign w:val="bottom"/>
            <w:tcBorders>
              <w:top w:val="single" w:sz="8" w:color="0000EE"/>
            </w:tcBorders>
            <w:gridSpan w:val="8"/>
          </w:tcPr>
          <w:p>
            <w:pPr>
              <w:spacing w:after="0"/>
              <w:rPr>
                <w:sz w:val="17"/>
                <w:szCs w:val="17"/>
                <w:color w:val="auto"/>
              </w:rPr>
            </w:pPr>
          </w:p>
        </w:tc>
        <w:tc>
          <w:tcPr>
            <w:tcW w:w="48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Second Amendment of Lease dated May 21, 2007, by and between Rodger P.</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86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Nordblom and Peter C. Nordblom, as Trustees of Northwest Associates, and</w:t>
              </w:r>
            </w:hyperlink>
          </w:p>
        </w:tc>
        <w:tc>
          <w:tcPr>
            <w:tcW w:w="60" w:type="dxa"/>
            <w:vAlign w:val="bottom"/>
            <w:tcBorders>
              <w:top w:val="single" w:sz="8" w:color="0000EE"/>
            </w:tcBorders>
            <w:gridSpan w:val="3"/>
          </w:tcPr>
          <w:p>
            <w:pPr>
              <w:spacing w:after="0"/>
              <w:rPr>
                <w:sz w:val="17"/>
                <w:szCs w:val="17"/>
                <w:color w:val="auto"/>
              </w:rPr>
            </w:pPr>
          </w:p>
        </w:tc>
        <w:tc>
          <w:tcPr>
            <w:tcW w:w="20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Registrant</w:t>
              </w:r>
            </w:hyperlink>
          </w:p>
        </w:tc>
        <w:tc>
          <w:tcPr>
            <w:tcW w:w="5020" w:type="dxa"/>
            <w:vAlign w:val="bottom"/>
            <w:gridSpan w:val="22"/>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0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Third Amendment of Lease dated February 26, 2008, by and between</w:t>
              </w:r>
            </w:hyperlink>
          </w:p>
        </w:tc>
        <w:tc>
          <w:tcPr>
            <w:tcW w:w="740" w:type="dxa"/>
            <w:vAlign w:val="bottom"/>
            <w:gridSpan w:val="14"/>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860" w:type="dxa"/>
            <w:vAlign w:val="bottom"/>
          </w:tcPr>
          <w:p>
            <w:pPr>
              <w:spacing w:after="0"/>
              <w:rPr>
                <w:sz w:val="17"/>
                <w:szCs w:val="17"/>
                <w:color w:val="auto"/>
              </w:rPr>
            </w:pPr>
          </w:p>
        </w:tc>
        <w:tc>
          <w:tcPr>
            <w:tcW w:w="5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Rodger P. Nordblom and Peter C. Nordblom, as Trustees of Northwest</w:t>
              </w:r>
            </w:hyperlink>
          </w:p>
        </w:tc>
        <w:tc>
          <w:tcPr>
            <w:tcW w:w="6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760" w:type="dxa"/>
            <w:vAlign w:val="bottom"/>
            <w:gridSpan w:val="2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Associates, and Registrant</w:t>
              </w:r>
            </w:hyperlink>
          </w:p>
        </w:tc>
        <w:tc>
          <w:tcPr>
            <w:tcW w:w="4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Fourth Amendment of Lease dated October 31, 2008, by and between</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5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Rodger P. Nordblom and Peter C. Nordblom, as Trustees of Northwest</w:t>
              </w:r>
            </w:hyperlink>
          </w:p>
        </w:tc>
        <w:tc>
          <w:tcPr>
            <w:tcW w:w="6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760" w:type="dxa"/>
            <w:vAlign w:val="bottom"/>
            <w:gridSpan w:val="24"/>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Associates, and Registrant</w:t>
              </w:r>
            </w:hyperlink>
          </w:p>
        </w:tc>
        <w:tc>
          <w:tcPr>
            <w:tcW w:w="4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Fifth Amendment of Lease dated March 23, 2010, by and between Rodger P.</w:t>
              </w:r>
            </w:hyperlink>
          </w:p>
        </w:tc>
        <w:tc>
          <w:tcPr>
            <w:tcW w:w="220" w:type="dxa"/>
            <w:vAlign w:val="bottom"/>
            <w:gridSpan w:val="7"/>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860" w:type="dxa"/>
            <w:vAlign w:val="bottom"/>
          </w:tcPr>
          <w:p>
            <w:pPr>
              <w:spacing w:after="0"/>
              <w:rPr>
                <w:sz w:val="17"/>
                <w:szCs w:val="17"/>
                <w:color w:val="auto"/>
              </w:rPr>
            </w:pPr>
          </w:p>
        </w:tc>
        <w:tc>
          <w:tcPr>
            <w:tcW w:w="5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Nordblom and Peter C. Nordblom, as Trustees of Northwest Associates, and</w:t>
              </w:r>
            </w:hyperlink>
          </w:p>
        </w:tc>
        <w:tc>
          <w:tcPr>
            <w:tcW w:w="26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Registrant</w:t>
              </w:r>
            </w:hyperlink>
          </w:p>
        </w:tc>
        <w:tc>
          <w:tcPr>
            <w:tcW w:w="5020" w:type="dxa"/>
            <w:vAlign w:val="bottom"/>
            <w:gridSpan w:val="22"/>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Sixth Amendment of Lease dated December 20, 2013, by and between NWP</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86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Building 5 LLC, as successor-in-interest to the Trustees of Northwest</w:t>
              </w:r>
            </w:hyperlink>
          </w:p>
        </w:tc>
        <w:tc>
          <w:tcPr>
            <w:tcW w:w="500" w:type="dxa"/>
            <w:vAlign w:val="bottom"/>
            <w:tcBorders>
              <w:top w:val="single" w:sz="8" w:color="0000EE"/>
            </w:tcBorders>
            <w:gridSpan w:val="6"/>
          </w:tcPr>
          <w:p>
            <w:pPr>
              <w:spacing w:after="0"/>
              <w:rPr>
                <w:sz w:val="17"/>
                <w:szCs w:val="17"/>
                <w:color w:val="auto"/>
              </w:rPr>
            </w:pPr>
          </w:p>
        </w:tc>
        <w:tc>
          <w:tcPr>
            <w:tcW w:w="24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760" w:type="dxa"/>
            <w:vAlign w:val="bottom"/>
            <w:gridSpan w:val="24"/>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Associates, and Registrant</w:t>
              </w:r>
            </w:hyperlink>
          </w:p>
        </w:tc>
        <w:tc>
          <w:tcPr>
            <w:tcW w:w="4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0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Seventh Amendment of Lease dated October 29, 2019 between NWP</w:t>
              </w:r>
            </w:hyperlink>
          </w:p>
        </w:tc>
        <w:tc>
          <w:tcPr>
            <w:tcW w:w="740" w:type="dxa"/>
            <w:vAlign w:val="bottom"/>
            <w:gridSpan w:val="14"/>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860" w:type="dxa"/>
            <w:vAlign w:val="bottom"/>
          </w:tcPr>
          <w:p>
            <w:pPr>
              <w:spacing w:after="0"/>
              <w:rPr>
                <w:sz w:val="17"/>
                <w:szCs w:val="17"/>
                <w:color w:val="auto"/>
              </w:rPr>
            </w:pPr>
          </w:p>
        </w:tc>
        <w:tc>
          <w:tcPr>
            <w:tcW w:w="5760" w:type="dxa"/>
            <w:vAlign w:val="bottom"/>
            <w:gridSpan w:val="24"/>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BUILDING 5 LLC and the Registrant</w:t>
              </w:r>
            </w:hyperlink>
          </w:p>
        </w:tc>
        <w:tc>
          <w:tcPr>
            <w:tcW w:w="4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Eighth Amendment of Lease dated October 18, 2023 between NWP Building 5</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10-Q</w:t>
            </w:r>
          </w:p>
        </w:tc>
      </w:tr>
      <w:tr>
        <w:trPr>
          <w:trHeight w:val="196"/>
        </w:trPr>
        <w:tc>
          <w:tcPr>
            <w:tcW w:w="8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LLC and the Registrant</w:t>
              </w:r>
            </w:hyperlink>
          </w:p>
        </w:tc>
        <w:tc>
          <w:tcPr>
            <w:tcW w:w="4000" w:type="dxa"/>
            <w:vAlign w:val="bottom"/>
            <w:tcBorders>
              <w:top w:val="single" w:sz="8" w:color="0000EE"/>
            </w:tcBorders>
            <w:gridSpan w:val="19"/>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Northwest Park Lease dated March 23, 2010, by and between Rodger P.</w:t>
              </w:r>
            </w:hyperlink>
          </w:p>
        </w:tc>
        <w:tc>
          <w:tcPr>
            <w:tcW w:w="580" w:type="dxa"/>
            <w:vAlign w:val="bottom"/>
            <w:gridSpan w:val="12"/>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860" w:type="dxa"/>
            <w:vAlign w:val="bottom"/>
          </w:tcPr>
          <w:p>
            <w:pPr>
              <w:spacing w:after="0"/>
              <w:rPr>
                <w:sz w:val="17"/>
                <w:szCs w:val="17"/>
                <w:color w:val="auto"/>
              </w:rPr>
            </w:pPr>
          </w:p>
        </w:tc>
        <w:tc>
          <w:tcPr>
            <w:tcW w:w="5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Nordblom and Peter C. Nordblom, as Trustees of Northwest Associates, and</w:t>
              </w:r>
            </w:hyperlink>
          </w:p>
        </w:tc>
        <w:tc>
          <w:tcPr>
            <w:tcW w:w="26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Registrant</w:t>
              </w:r>
            </w:hyperlink>
          </w:p>
        </w:tc>
        <w:tc>
          <w:tcPr>
            <w:tcW w:w="5020" w:type="dxa"/>
            <w:vAlign w:val="bottom"/>
            <w:gridSpan w:val="22"/>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First Amendment to Northwest Park Lease dated September 14, 2010, by and</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860" w:type="dxa"/>
            <w:vAlign w:val="bottom"/>
          </w:tcPr>
          <w:p>
            <w:pPr>
              <w:spacing w:after="0"/>
              <w:rPr>
                <w:sz w:val="17"/>
                <w:szCs w:val="17"/>
                <w:color w:val="auto"/>
              </w:rPr>
            </w:pPr>
          </w:p>
        </w:tc>
        <w:tc>
          <w:tcPr>
            <w:tcW w:w="55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between Rodger P. Nordblom and Peter C. Nordblom, as Trustees of</w:t>
              </w:r>
            </w:hyperlink>
          </w:p>
        </w:tc>
        <w:tc>
          <w:tcPr>
            <w:tcW w:w="18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Northwest Associates, and Registrant</w:t>
              </w:r>
            </w:hyperlink>
          </w:p>
        </w:tc>
        <w:tc>
          <w:tcPr>
            <w:tcW w:w="2180" w:type="dxa"/>
            <w:vAlign w:val="bottom"/>
            <w:tcBorders>
              <w:top w:val="single" w:sz="8" w:color="0000EE"/>
            </w:tcBorders>
          </w:tcPr>
          <w:p>
            <w:pPr>
              <w:spacing w:after="0"/>
              <w:rPr>
                <w:sz w:val="17"/>
                <w:szCs w:val="17"/>
                <w:color w:val="auto"/>
              </w:rPr>
            </w:pPr>
          </w:p>
        </w:tc>
        <w:tc>
          <w:tcPr>
            <w:tcW w:w="84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Second Amendment to Northwest Park Lease dated October 31, 2011, by and</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860" w:type="dxa"/>
            <w:vAlign w:val="bottom"/>
          </w:tcPr>
          <w:p>
            <w:pPr>
              <w:spacing w:after="0"/>
              <w:rPr>
                <w:sz w:val="17"/>
                <w:szCs w:val="17"/>
                <w:color w:val="auto"/>
              </w:rPr>
            </w:pPr>
          </w:p>
        </w:tc>
        <w:tc>
          <w:tcPr>
            <w:tcW w:w="55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between NWP Building 4 LLC, as successor-in-interest to Trustees of</w:t>
              </w:r>
            </w:hyperlink>
          </w:p>
        </w:tc>
        <w:tc>
          <w:tcPr>
            <w:tcW w:w="18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Northwest Associates, and Registrant</w:t>
              </w:r>
            </w:hyperlink>
          </w:p>
        </w:tc>
        <w:tc>
          <w:tcPr>
            <w:tcW w:w="2280" w:type="dxa"/>
            <w:vAlign w:val="bottom"/>
            <w:tcBorders>
              <w:top w:val="single" w:sz="8" w:color="0000EE"/>
            </w:tcBorders>
            <w:gridSpan w:val="2"/>
          </w:tcPr>
          <w:p>
            <w:pPr>
              <w:spacing w:after="0"/>
              <w:rPr>
                <w:sz w:val="17"/>
                <w:szCs w:val="17"/>
                <w:color w:val="auto"/>
              </w:rPr>
            </w:pPr>
          </w:p>
        </w:tc>
        <w:tc>
          <w:tcPr>
            <w:tcW w:w="74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Second Amendment to Northwest Park Lease dated October 31, 2011, by and</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860" w:type="dxa"/>
            <w:vAlign w:val="bottom"/>
          </w:tcPr>
          <w:p>
            <w:pPr>
              <w:spacing w:after="0"/>
              <w:rPr>
                <w:sz w:val="17"/>
                <w:szCs w:val="17"/>
                <w:color w:val="auto"/>
              </w:rPr>
            </w:pPr>
          </w:p>
        </w:tc>
        <w:tc>
          <w:tcPr>
            <w:tcW w:w="55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between NWP Building 4 LLC, as successor-in-interest to Trustees of</w:t>
              </w:r>
            </w:hyperlink>
          </w:p>
        </w:tc>
        <w:tc>
          <w:tcPr>
            <w:tcW w:w="18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Northwest Associates, and Registrant</w:t>
              </w:r>
            </w:hyperlink>
          </w:p>
        </w:tc>
        <w:tc>
          <w:tcPr>
            <w:tcW w:w="2280" w:type="dxa"/>
            <w:vAlign w:val="bottom"/>
            <w:tcBorders>
              <w:top w:val="single" w:sz="8" w:color="0000EE"/>
            </w:tcBorders>
            <w:gridSpan w:val="2"/>
          </w:tcPr>
          <w:p>
            <w:pPr>
              <w:spacing w:after="0"/>
              <w:rPr>
                <w:sz w:val="17"/>
                <w:szCs w:val="17"/>
                <w:color w:val="auto"/>
              </w:rPr>
            </w:pPr>
          </w:p>
        </w:tc>
        <w:tc>
          <w:tcPr>
            <w:tcW w:w="74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Fourth Amendment of Lease dated December 20, 2013, by and between NWP</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86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Building 4 LLC, as successor-in-interest to the Trustees of Northwest</w:t>
              </w:r>
            </w:hyperlink>
          </w:p>
        </w:tc>
        <w:tc>
          <w:tcPr>
            <w:tcW w:w="600" w:type="dxa"/>
            <w:vAlign w:val="bottom"/>
            <w:tcBorders>
              <w:top w:val="single" w:sz="8" w:color="0000EE"/>
            </w:tcBorders>
            <w:gridSpan w:val="11"/>
          </w:tcPr>
          <w:p>
            <w:pPr>
              <w:spacing w:after="0"/>
              <w:rPr>
                <w:sz w:val="17"/>
                <w:szCs w:val="17"/>
                <w:color w:val="auto"/>
              </w:rPr>
            </w:pPr>
          </w:p>
        </w:tc>
        <w:tc>
          <w:tcPr>
            <w:tcW w:w="14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760" w:type="dxa"/>
            <w:vAlign w:val="bottom"/>
            <w:gridSpan w:val="24"/>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Associates, and Registrant</w:t>
              </w:r>
            </w:hyperlink>
          </w:p>
        </w:tc>
        <w:tc>
          <w:tcPr>
            <w:tcW w:w="4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6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Fifth Amendment of Lease dated October 29, 2019 between NWP BUILDING</w:t>
              </w:r>
            </w:hyperlink>
          </w:p>
        </w:tc>
        <w:tc>
          <w:tcPr>
            <w:tcW w:w="80" w:type="dxa"/>
            <w:vAlign w:val="bottom"/>
            <w:gridSpan w:val="2"/>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860" w:type="dxa"/>
            <w:vAlign w:val="bottom"/>
          </w:tcPr>
          <w:p>
            <w:pPr>
              <w:spacing w:after="0"/>
              <w:rPr>
                <w:sz w:val="17"/>
                <w:szCs w:val="17"/>
                <w:color w:val="auto"/>
              </w:rPr>
            </w:pPr>
          </w:p>
        </w:tc>
        <w:tc>
          <w:tcPr>
            <w:tcW w:w="5760" w:type="dxa"/>
            <w:vAlign w:val="bottom"/>
            <w:gridSpan w:val="24"/>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4 LLC and the Registrant</w:t>
              </w:r>
            </w:hyperlink>
          </w:p>
        </w:tc>
        <w:tc>
          <w:tcPr>
            <w:tcW w:w="4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Sixth Amendment of Lease dated October 18, 2023 between NWP Building 4</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10-Q</w:t>
            </w:r>
          </w:p>
        </w:tc>
      </w:tr>
      <w:tr>
        <w:trPr>
          <w:trHeight w:val="196"/>
        </w:trPr>
        <w:tc>
          <w:tcPr>
            <w:tcW w:w="860" w:type="dxa"/>
            <w:vAlign w:val="bottom"/>
          </w:tcPr>
          <w:p>
            <w:pPr>
              <w:spacing w:after="0"/>
              <w:rPr>
                <w:sz w:val="17"/>
                <w:szCs w:val="17"/>
                <w:color w:val="auto"/>
              </w:rPr>
            </w:pPr>
          </w:p>
        </w:tc>
        <w:tc>
          <w:tcPr>
            <w:tcW w:w="56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LLC and Registrant</w:t>
              </w:r>
            </w:hyperlink>
          </w:p>
        </w:tc>
        <w:tc>
          <w:tcPr>
            <w:tcW w:w="16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60" w:type="dxa"/>
            <w:vAlign w:val="bottom"/>
            <w:gridSpan w:val="11"/>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760" w:type="dxa"/>
            <w:vAlign w:val="bottom"/>
            <w:gridSpan w:val="24"/>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Lease dated December 20, 2013, by and between N.W. Building 3 Trust and</w:t>
              </w:r>
            </w:hyperlink>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8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Registrant</w:t>
              </w:r>
            </w:hyperlink>
          </w:p>
        </w:tc>
        <w:tc>
          <w:tcPr>
            <w:tcW w:w="4740" w:type="dxa"/>
            <w:vAlign w:val="bottom"/>
            <w:tcBorders>
              <w:top w:val="single" w:sz="8" w:color="0000EE"/>
            </w:tcBorders>
            <w:gridSpan w:val="12"/>
          </w:tcPr>
          <w:p>
            <w:pPr>
              <w:spacing w:after="0"/>
              <w:rPr>
                <w:sz w:val="17"/>
                <w:szCs w:val="17"/>
                <w:color w:val="auto"/>
              </w:rPr>
            </w:pPr>
          </w:p>
        </w:tc>
        <w:tc>
          <w:tcPr>
            <w:tcW w:w="28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7"/>
          <w:szCs w:val="17"/>
          <w:color w:val="auto"/>
        </w:rPr>
        <w:t>4/25/06</w:t>
      </w:r>
      <w:r>
        <w:rPr>
          <w:sz w:val="20"/>
          <w:szCs w:val="20"/>
          <w:color w:val="auto"/>
        </w:rPr>
        <w:tab/>
      </w:r>
      <w:r>
        <w:rPr>
          <w:rFonts w:ascii="Times New Roman" w:cs="Times New Roman" w:eastAsia="Times New Roman" w:hAnsi="Times New Roman"/>
          <w:sz w:val="17"/>
          <w:szCs w:val="17"/>
          <w:color w:val="auto"/>
        </w:rPr>
        <w:t>333-133532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6/15/07</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4/10/08</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3/31/09</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3/29/10</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12/23/13</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11/1/19</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4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11/7/23</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4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3/29/10</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3/27/12</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3/27/12</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3/27/13</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12/23/13</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11/1/19</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4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11/7/23</w:t>
      </w:r>
      <w:r>
        <w:rPr>
          <w:sz w:val="20"/>
          <w:szCs w:val="20"/>
          <w:color w:val="auto"/>
        </w:rPr>
        <w:tab/>
      </w:r>
      <w:r>
        <w:rPr>
          <w:rFonts w:ascii="Times New Roman" w:cs="Times New Roman" w:eastAsia="Times New Roman" w:hAnsi="Times New Roman"/>
          <w:sz w:val="18"/>
          <w:szCs w:val="18"/>
          <w:color w:val="auto"/>
        </w:rPr>
        <w:t>001-33092</w:t>
      </w:r>
    </w:p>
    <w:p>
      <w:pPr>
        <w:spacing w:after="0" w:line="200" w:lineRule="exact"/>
        <w:rPr>
          <w:sz w:val="20"/>
          <w:szCs w:val="20"/>
          <w:color w:val="auto"/>
        </w:rPr>
      </w:pPr>
    </w:p>
    <w:p>
      <w:pPr>
        <w:spacing w:after="0" w:line="24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12/23/13</w:t>
      </w:r>
      <w:r>
        <w:rPr>
          <w:sz w:val="20"/>
          <w:szCs w:val="20"/>
          <w:color w:val="auto"/>
        </w:rPr>
        <w:tab/>
      </w:r>
      <w:r>
        <w:rPr>
          <w:rFonts w:ascii="Times New Roman" w:cs="Times New Roman" w:eastAsia="Times New Roman" w:hAnsi="Times New Roman"/>
          <w:sz w:val="18"/>
          <w:szCs w:val="18"/>
          <w:color w:val="auto"/>
        </w:rPr>
        <w:t>001-33092</w:t>
      </w:r>
    </w:p>
    <w:p>
      <w:pPr>
        <w:spacing w:after="0" w:line="416" w:lineRule="exact"/>
        <w:rPr>
          <w:sz w:val="20"/>
          <w:szCs w:val="20"/>
          <w:color w:val="auto"/>
        </w:rPr>
      </w:pPr>
    </w:p>
    <w:p>
      <w:pPr>
        <w:sectPr>
          <w:pgSz w:w="11900" w:h="16838" w:orient="portrait"/>
          <w:cols w:equalWidth="0" w:num="2">
            <w:col w:w="7040" w:space="320"/>
            <w:col w:w="2779"/>
          </w:cols>
          <w:pgMar w:left="320" w:top="108" w:right="1440" w:bottom="1440" w:gutter="0" w:footer="0" w:header="0"/>
        </w:sect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5840" w:type="dxa"/>
            <w:vAlign w:val="bottom"/>
            <w:gridSpan w:val="29"/>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First Amendment of Lease dated October 29, 2019 between NWP BUILDING 3</w:t>
              </w:r>
            </w:hyperlink>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1000" w:type="dxa"/>
            <w:vAlign w:val="bottom"/>
          </w:tcPr>
          <w:p>
            <w:pPr>
              <w:spacing w:after="0"/>
              <w:rPr>
                <w:sz w:val="17"/>
                <w:szCs w:val="17"/>
                <w:color w:val="auto"/>
              </w:rPr>
            </w:pPr>
          </w:p>
        </w:tc>
        <w:tc>
          <w:tcPr>
            <w:tcW w:w="57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LLC and the Registrant</w:t>
              </w:r>
            </w:hyperlink>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840" w:type="dxa"/>
            <w:vAlign w:val="bottom"/>
            <w:gridSpan w:val="29"/>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Second Amendment of Lease dated October 18, 2023 between NWP Building 3</w:t>
              </w:r>
            </w:hyperlink>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10-Q</w:t>
            </w:r>
          </w:p>
        </w:tc>
      </w:tr>
      <w:tr>
        <w:trPr>
          <w:trHeight w:val="196"/>
        </w:trPr>
        <w:tc>
          <w:tcPr>
            <w:tcW w:w="1000" w:type="dxa"/>
            <w:vAlign w:val="bottom"/>
          </w:tcPr>
          <w:p>
            <w:pPr>
              <w:spacing w:after="0"/>
              <w:rPr>
                <w:sz w:val="17"/>
                <w:szCs w:val="17"/>
                <w:color w:val="auto"/>
              </w:rPr>
            </w:pPr>
          </w:p>
        </w:tc>
        <w:tc>
          <w:tcPr>
            <w:tcW w:w="57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LLC and the Registrant</w:t>
              </w:r>
            </w:hyperlink>
          </w:p>
        </w:tc>
        <w:tc>
          <w:tcPr>
            <w:tcW w:w="1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840" w:type="dxa"/>
            <w:vAlign w:val="bottom"/>
            <w:gridSpan w:val="29"/>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Lease dated November 26, 2019 between NWP Retail 18 LLC and the</w:t>
              </w:r>
            </w:hyperlink>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100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01">
              <w:r>
                <w:rPr>
                  <w:rFonts w:ascii="Times New Roman" w:cs="Times New Roman" w:eastAsia="Times New Roman" w:hAnsi="Times New Roman"/>
                  <w:sz w:val="18"/>
                  <w:szCs w:val="18"/>
                  <w:color w:val="0000EE"/>
                  <w:w w:val="96"/>
                </w:rPr>
                <w:t>Registrant.</w:t>
              </w:r>
            </w:hyperlink>
          </w:p>
        </w:tc>
        <w:tc>
          <w:tcPr>
            <w:tcW w:w="4280" w:type="dxa"/>
            <w:vAlign w:val="bottom"/>
            <w:tcBorders>
              <w:top w:val="single" w:sz="8" w:color="0000EE"/>
            </w:tcBorders>
            <w:gridSpan w:val="14"/>
          </w:tcPr>
          <w:p>
            <w:pPr>
              <w:spacing w:after="0"/>
              <w:rPr>
                <w:sz w:val="17"/>
                <w:szCs w:val="17"/>
                <w:color w:val="auto"/>
              </w:rPr>
            </w:pPr>
          </w:p>
        </w:tc>
        <w:tc>
          <w:tcPr>
            <w:tcW w:w="78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4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First Amendment of Lease dated October 18, 2023 between NWP Retail 18</w:t>
              </w:r>
            </w:hyperlink>
          </w:p>
        </w:tc>
        <w:tc>
          <w:tcPr>
            <w:tcW w:w="400" w:type="dxa"/>
            <w:vAlign w:val="bottom"/>
            <w:gridSpan w:val="9"/>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10-Q</w:t>
            </w: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LLC and the Registrant</w:t>
              </w:r>
            </w:hyperlink>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Amended and Restated Management Incentive Compensation Plan</w:t>
              </w:r>
            </w:hyperlink>
          </w:p>
        </w:tc>
        <w:tc>
          <w:tcPr>
            <w:tcW w:w="1020" w:type="dxa"/>
            <w:vAlign w:val="bottom"/>
            <w:gridSpan w:val="16"/>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49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Fourth Amended and Restated 2006 Stock Option and Incentive Plan</w:t>
              </w:r>
            </w:hyperlink>
          </w:p>
        </w:tc>
        <w:tc>
          <w:tcPr>
            <w:tcW w:w="860" w:type="dxa"/>
            <w:vAlign w:val="bottom"/>
            <w:gridSpan w:val="15"/>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56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Form of Restricted Stock Unit Award Agreement under the LeMaitre Vascular,</w:t>
              </w:r>
            </w:hyperlink>
          </w:p>
        </w:tc>
        <w:tc>
          <w:tcPr>
            <w:tcW w:w="160" w:type="dxa"/>
            <w:vAlign w:val="bottom"/>
            <w:gridSpan w:val="4"/>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 2006 Stock Option And Incentive Plan</w:t>
              </w:r>
            </w:hyperlink>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56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Incentive Stock Option Agreement under the LeMaitre Vascular, Inc.</w:t>
              </w:r>
            </w:hyperlink>
          </w:p>
        </w:tc>
        <w:tc>
          <w:tcPr>
            <w:tcW w:w="240" w:type="dxa"/>
            <w:vAlign w:val="bottom"/>
            <w:gridSpan w:val="6"/>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2006 Stock Option And Incentive Plan</w:t>
              </w:r>
            </w:hyperlink>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5840" w:type="dxa"/>
            <w:vAlign w:val="bottom"/>
            <w:gridSpan w:val="29"/>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Non-Qualified Stock Option Agreement (Employees) under the</w:t>
              </w:r>
            </w:hyperlink>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1000" w:type="dxa"/>
            <w:vAlign w:val="bottom"/>
          </w:tcPr>
          <w:p>
            <w:pPr>
              <w:spacing w:after="0"/>
              <w:rPr>
                <w:sz w:val="17"/>
                <w:szCs w:val="17"/>
                <w:color w:val="auto"/>
              </w:rPr>
            </w:pPr>
          </w:p>
        </w:tc>
        <w:tc>
          <w:tcPr>
            <w:tcW w:w="52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LeMaitre Vascular, Inc. 2006 Stock Option And Incentive Plan</w:t>
              </w:r>
            </w:hyperlink>
          </w:p>
        </w:tc>
        <w:tc>
          <w:tcPr>
            <w:tcW w:w="640" w:type="dxa"/>
            <w:vAlign w:val="bottom"/>
            <w:gridSpan w:val="12"/>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55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Non-Qualified Stock Option Agreement (Non-Employee Directors)</w:t>
              </w:r>
            </w:hyperlink>
          </w:p>
        </w:tc>
        <w:tc>
          <w:tcPr>
            <w:tcW w:w="340" w:type="dxa"/>
            <w:vAlign w:val="bottom"/>
            <w:gridSpan w:val="8"/>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under the LeMaitre Vascular, Inc. 2006 Stock Option And Incentive Plan</w:t>
              </w:r>
            </w:hyperlink>
          </w:p>
        </w:tc>
        <w:tc>
          <w:tcPr>
            <w:tcW w:w="44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52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License Agreement dated October 11, 2019 between the Registrant and</w:t>
              </w:r>
            </w:hyperlink>
          </w:p>
        </w:tc>
        <w:tc>
          <w:tcPr>
            <w:tcW w:w="600" w:type="dxa"/>
            <w:vAlign w:val="bottom"/>
            <w:gridSpan w:val="11"/>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1000" w:type="dxa"/>
            <w:vAlign w:val="bottom"/>
          </w:tcPr>
          <w:p>
            <w:pPr>
              <w:spacing w:after="0"/>
              <w:rPr>
                <w:sz w:val="17"/>
                <w:szCs w:val="17"/>
                <w:color w:val="auto"/>
              </w:rPr>
            </w:pPr>
          </w:p>
        </w:tc>
        <w:tc>
          <w:tcPr>
            <w:tcW w:w="5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Admedus Ltd and certain of its subsidiaries</w:t>
              </w:r>
            </w:hyperlink>
          </w:p>
        </w:tc>
        <w:tc>
          <w:tcPr>
            <w:tcW w:w="72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5840" w:type="dxa"/>
            <w:vAlign w:val="bottom"/>
            <w:gridSpan w:val="29"/>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Eighth Amended and Restated Equity Award Grant Policy</w:t>
              </w:r>
            </w:hyperlink>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0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56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Form of Restricted Stock Unit Award Agreement – Performance Based Award</w:t>
              </w:r>
            </w:hyperlink>
          </w:p>
        </w:tc>
        <w:tc>
          <w:tcPr>
            <w:tcW w:w="200" w:type="dxa"/>
            <w:vAlign w:val="bottom"/>
            <w:gridSpan w:val="5"/>
          </w:tcPr>
          <w:p>
            <w:pPr>
              <w:spacing w:after="0"/>
              <w:rPr>
                <w:sz w:val="24"/>
                <w:szCs w:val="24"/>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10-K</w:t>
            </w: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under the LeMaitre Vascular, Inc. 2006 Stock Option And Incentive Plan</w:t>
              </w:r>
            </w:hyperlink>
          </w:p>
        </w:tc>
        <w:tc>
          <w:tcPr>
            <w:tcW w:w="44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2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LeMaitre Vascular, Inc. Insider Trading Policy</w:t>
            </w:r>
          </w:p>
        </w:tc>
        <w:tc>
          <w:tcPr>
            <w:tcW w:w="6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1940" w:type="dxa"/>
            <w:vAlign w:val="bottom"/>
            <w:tcBorders>
              <w:top w:val="single" w:sz="8" w:color="0000EE"/>
            </w:tcBorders>
            <w:gridSpan w:val="6"/>
          </w:tcPr>
          <w:p>
            <w:pPr>
              <w:spacing w:after="0"/>
              <w:rPr>
                <w:sz w:val="24"/>
                <w:szCs w:val="24"/>
                <w:color w:val="auto"/>
              </w:rPr>
            </w:pPr>
          </w:p>
        </w:tc>
        <w:tc>
          <w:tcPr>
            <w:tcW w:w="2500" w:type="dxa"/>
            <w:vAlign w:val="bottom"/>
            <w:gridSpan w:val="19"/>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Grant Thornton LLP</w:t>
            </w:r>
          </w:p>
        </w:tc>
        <w:tc>
          <w:tcPr>
            <w:tcW w:w="3520" w:type="dxa"/>
            <w:vAlign w:val="bottom"/>
            <w:gridSpan w:val="23"/>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5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Signatures page of this Annual Report on</w:t>
            </w:r>
          </w:p>
        </w:tc>
        <w:tc>
          <w:tcPr>
            <w:tcW w:w="26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Form 10-K)</w:t>
            </w:r>
          </w:p>
        </w:tc>
        <w:tc>
          <w:tcPr>
            <w:tcW w:w="4980" w:type="dxa"/>
            <w:vAlign w:val="bottom"/>
            <w:gridSpan w:val="27"/>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Certification of Chief Executive Officer, as required by Rule 13a-14(a) or</w:t>
            </w:r>
          </w:p>
        </w:tc>
        <w:tc>
          <w:tcPr>
            <w:tcW w:w="54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Rule 15d-14(a)</w:t>
            </w: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8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as required by Rule 13a-14(a) or</w:t>
            </w:r>
          </w:p>
        </w:tc>
        <w:tc>
          <w:tcPr>
            <w:tcW w:w="4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2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Rule 15d-14(a)</w:t>
            </w:r>
          </w:p>
        </w:tc>
        <w:tc>
          <w:tcPr>
            <w:tcW w:w="60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20" w:type="dxa"/>
            <w:vAlign w:val="bottom"/>
            <w:gridSpan w:val="1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as required by Rule 13a-14(b) or</w:t>
            </w:r>
          </w:p>
        </w:tc>
        <w:tc>
          <w:tcPr>
            <w:tcW w:w="44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3620" w:type="dxa"/>
            <w:vAlign w:val="bottom"/>
            <w:tcBorders>
              <w:left w:val="single" w:sz="8" w:color="0000EE"/>
              <w:right w:val="single" w:sz="8" w:color="0000EE"/>
            </w:tcBorders>
            <w:gridSpan w:val="14"/>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7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15d-14(b) and Section 1350 of Chapter 36 of Title 18 of the United States</w:t>
            </w:r>
          </w:p>
        </w:tc>
        <w:tc>
          <w:tcPr>
            <w:tcW w:w="1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Code (18 U.S.C. §1350)</w:t>
            </w: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3620" w:type="dxa"/>
            <w:vAlign w:val="bottom"/>
            <w:tcBorders>
              <w:left w:val="single" w:sz="8" w:color="0000EE"/>
            </w:tcBorders>
            <w:gridSpan w:val="14"/>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as required by Rule 13a-14(b) or</w:t>
            </w:r>
          </w:p>
        </w:tc>
        <w:tc>
          <w:tcPr>
            <w:tcW w:w="54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7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15d-14(b) and Section 1350 of Chapter 36 of Title 18 of the United States</w:t>
            </w:r>
          </w:p>
        </w:tc>
        <w:tc>
          <w:tcPr>
            <w:tcW w:w="1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Code (18 U.S.C. §1350)</w:t>
            </w:r>
          </w:p>
        </w:tc>
        <w:tc>
          <w:tcPr>
            <w:tcW w:w="4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11/1/19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11/7/23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12/3/19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11/7/23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2/25/14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6/3/24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3/9/18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3/9/18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3/9/18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3/9/18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7/9/21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2/28/22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001-33092</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ectPr>
          <w:pgSz w:w="11900" w:h="16838" w:orient="portrait"/>
          <w:cols w:equalWidth="0" w:num="2">
            <w:col w:w="7280" w:space="320"/>
            <w:col w:w="3280"/>
          </w:cols>
          <w:pgMar w:left="320" w:top="121" w:right="699" w:bottom="1440" w:gutter="0" w:footer="0" w:header="0"/>
        </w:sectPr>
      </w:pPr>
    </w:p>
    <w:p>
      <w:pPr>
        <w:spacing w:after="0" w:line="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0" w:type="dxa"/>
            <w:vAlign w:val="bottom"/>
          </w:tcPr>
          <w:p>
            <w:pPr>
              <w:spacing w:after="0"/>
              <w:rPr>
                <w:sz w:val="17"/>
                <w:szCs w:val="17"/>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LeMaitre Vascular, Inc. Compensation Recovery Program</w:t>
            </w:r>
          </w:p>
        </w:tc>
        <w:tc>
          <w:tcPr>
            <w:tcW w:w="3080" w:type="dxa"/>
            <w:vAlign w:val="bottom"/>
          </w:tcPr>
          <w:p>
            <w:pPr>
              <w:spacing w:after="0"/>
              <w:rPr>
                <w:sz w:val="24"/>
                <w:szCs w:val="24"/>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45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XRBL Taxonomy Extension Presentation Linkbase Document.</w:t>
            </w: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98" w:lineRule="exact"/>
        <w:rPr>
          <w:sz w:val="20"/>
          <w:szCs w:val="20"/>
          <w:color w:val="auto"/>
        </w:rPr>
      </w:pPr>
    </w:p>
    <w:p>
      <w:pPr>
        <w:ind w:left="1200" w:right="4460" w:hanging="1192"/>
        <w:spacing w:after="0" w:line="282" w:lineRule="auto"/>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2"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25" w:lineRule="exact"/>
        <w:rPr>
          <w:sz w:val="20"/>
          <w:szCs w:val="20"/>
          <w:color w:val="auto"/>
        </w:rPr>
      </w:pPr>
    </w:p>
    <w:p>
      <w:pPr>
        <w:ind w:left="340" w:right="26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Annual Report on Form 10-K, are not deemed filed with the Securities and Exchange Commission and are not to be incorporated by reference into any filing of LeMaitre Vascular, Inc. under the Securities Act of 1933, as amended, or the Securities Exchange Act of 1934, as amended, whether made before or after the date of this Form 10-K, irrespective of any general incorporation language contained in such filing.</w:t>
      </w:r>
    </w:p>
    <w:p>
      <w:pPr>
        <w:spacing w:after="0" w:line="180"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(indicated by “[***]”) have been omitted because they are not material and is the type that LeMaitre Vascular, Inc. treats as private and confidential.</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28, 2025.</w:t>
      </w:r>
    </w:p>
    <w:p>
      <w:pPr>
        <w:spacing w:after="0" w:line="37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LEMAITRE VASCULAR, INC.</w:t>
      </w:r>
    </w:p>
    <w:p>
      <w:pPr>
        <w:spacing w:after="0" w:line="225"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GEORGE W. LEMAITRE</w:t>
            </w:r>
          </w:p>
        </w:tc>
      </w:tr>
      <w:tr>
        <w:trPr>
          <w:trHeight w:val="187"/>
        </w:trPr>
        <w:tc>
          <w:tcPr>
            <w:tcW w:w="360" w:type="dxa"/>
            <w:vAlign w:val="bottom"/>
          </w:tcPr>
          <w:p>
            <w:pPr>
              <w:spacing w:after="0"/>
              <w:rPr>
                <w:sz w:val="16"/>
                <w:szCs w:val="16"/>
                <w:color w:val="auto"/>
              </w:rPr>
            </w:pPr>
          </w:p>
        </w:tc>
        <w:tc>
          <w:tcPr>
            <w:tcW w:w="4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George W. LeMaitre,</w:t>
            </w:r>
          </w:p>
        </w:tc>
      </w:tr>
      <w:tr>
        <w:trPr>
          <w:trHeight w:val="216"/>
        </w:trPr>
        <w:tc>
          <w:tcPr>
            <w:tcW w:w="3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 of</w:t>
            </w:r>
          </w:p>
        </w:tc>
      </w:tr>
      <w:tr>
        <w:trPr>
          <w:trHeight w:val="238"/>
        </w:trPr>
        <w:tc>
          <w:tcPr>
            <w:tcW w:w="3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Board</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George W. LeMaitre and Joseph P. Pellegrino, Jr.,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89" w:lineRule="exact"/>
        <w:rPr>
          <w:sz w:val="20"/>
          <w:szCs w:val="20"/>
          <w:color w:val="auto"/>
        </w:rPr>
      </w:pPr>
    </w:p>
    <w:p>
      <w:pPr>
        <w:ind w:left="160" w:right="1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18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GEORGE W. LEMAITRE</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189"/>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tcPr>
          <w:p>
            <w:pPr>
              <w:jc w:val="center"/>
              <w:ind w:right="10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George W. LeMaitre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6"/>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47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color w:val="auto"/>
              </w:rPr>
              <w:t>/s/  JOSEPH P. PELLEGRINO, JR.</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Chief Financial Officer </w:t>
            </w:r>
            <w:r>
              <w:rPr>
                <w:rFonts w:ascii="Times New Roman" w:cs="Times New Roman" w:eastAsia="Times New Roman" w:hAnsi="Times New Roman"/>
                <w:sz w:val="18"/>
                <w:szCs w:val="18"/>
                <w:i w:val="1"/>
                <w:iCs w:val="1"/>
                <w:color w:val="auto"/>
              </w:rPr>
              <w:t>(Principal</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189"/>
        </w:trPr>
        <w:tc>
          <w:tcPr>
            <w:tcW w:w="1820" w:type="dxa"/>
            <w:vAlign w:val="bottom"/>
          </w:tcPr>
          <w:p>
            <w:pPr>
              <w:spacing w:after="0"/>
              <w:rPr>
                <w:sz w:val="16"/>
                <w:szCs w:val="16"/>
                <w:color w:val="auto"/>
              </w:rPr>
            </w:pPr>
          </w:p>
        </w:tc>
        <w:tc>
          <w:tcPr>
            <w:tcW w:w="2920" w:type="dxa"/>
            <w:vAlign w:val="bottom"/>
            <w:gridSpan w:val="2"/>
          </w:tcPr>
          <w:p>
            <w:pPr>
              <w:jc w:val="center"/>
              <w:ind w:right="8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Joseph P. Pellegrino, Jr.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Financial and Accounting</w:t>
            </w: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6"/>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Officer) </w:t>
            </w:r>
            <w:r>
              <w:rPr>
                <w:rFonts w:ascii="Times New Roman" w:cs="Times New Roman" w:eastAsia="Times New Roman" w:hAnsi="Times New Roman"/>
                <w:sz w:val="18"/>
                <w:szCs w:val="18"/>
                <w:color w:val="auto"/>
              </w:rPr>
              <w:t>and Director</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18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LAWRENCE J. JASINSKI</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Lawrence J. Jasinski</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18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w w:val="82"/>
              </w:rPr>
              <w:t>/s/</w:t>
            </w: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rPr>
              <w:t>JOHN J. O’CONNOR</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John J.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Connor</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18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w w:val="82"/>
              </w:rPr>
              <w:t>/s/</w:t>
            </w: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8"/>
              </w:rPr>
              <w:t>DAVID B. ROBERTS</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Director</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David B. Roberts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1980" w:type="dxa"/>
            <w:vAlign w:val="bottom"/>
            <w:tcBorders>
              <w:bottom w:val="single" w:sz="8" w:color="auto"/>
            </w:tcBorders>
            <w:gridSpan w:val="2"/>
          </w:tcPr>
          <w:p>
            <w:pPr>
              <w:ind w:left="1800"/>
              <w:spacing w:after="0"/>
              <w:rPr>
                <w:sz w:val="20"/>
                <w:szCs w:val="20"/>
                <w:color w:val="auto"/>
              </w:rPr>
            </w:pPr>
            <w:r>
              <w:rPr>
                <w:rFonts w:ascii="Times New Roman" w:cs="Times New Roman" w:eastAsia="Times New Roman" w:hAnsi="Times New Roman"/>
                <w:sz w:val="18"/>
                <w:szCs w:val="18"/>
                <w:color w:val="auto"/>
                <w:w w:val="93"/>
              </w:rPr>
              <w:t>/s/</w:t>
            </w:r>
          </w:p>
        </w:tc>
        <w:tc>
          <w:tcPr>
            <w:tcW w:w="276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rPr>
              <w:t>JOHN A. ROUSH</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John A. Roush</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1980" w:type="dxa"/>
            <w:vAlign w:val="bottom"/>
            <w:tcBorders>
              <w:bottom w:val="single" w:sz="8" w:color="auto"/>
            </w:tcBorders>
            <w:gridSpan w:val="2"/>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276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rPr>
              <w:t>BRIDGET A. ROSS</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Bridget A. Ross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1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MARTHA M. SHADAN</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Martha M. Shadan</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0"/>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15"/>
        </w:trPr>
        <w:tc>
          <w:tcPr>
            <w:tcW w:w="1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608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LeMaitre Vascular, Inc.</w:t>
            </w:r>
          </w:p>
        </w:tc>
        <w:tc>
          <w:tcPr>
            <w:tcW w:w="2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9240" w:type="dxa"/>
            <w:vAlign w:val="bottom"/>
            <w:gridSpan w:val="9"/>
            <w:vMerge w:val="continue"/>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Number 248)</w:t>
            </w:r>
          </w:p>
        </w:tc>
        <w:tc>
          <w:tcPr>
            <w:tcW w:w="3060" w:type="dxa"/>
            <w:vAlign w:val="bottom"/>
            <w:gridSpan w:val="5"/>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56</w:t>
            </w:r>
          </w:p>
        </w:tc>
        <w:tc>
          <w:tcPr>
            <w:tcW w:w="0" w:type="dxa"/>
            <w:vAlign w:val="bottom"/>
          </w:tcPr>
          <w:p>
            <w:pPr>
              <w:spacing w:after="0"/>
              <w:rPr>
                <w:sz w:val="1"/>
                <w:szCs w:val="1"/>
                <w:color w:val="auto"/>
              </w:rPr>
            </w:pPr>
          </w:p>
        </w:tc>
      </w:tr>
      <w:tr>
        <w:trPr>
          <w:trHeight w:val="412"/>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4580" w:type="dxa"/>
            <w:vAlign w:val="bottom"/>
            <w:gridSpan w:val="6"/>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412"/>
        </w:trPr>
        <w:tc>
          <w:tcPr>
            <w:tcW w:w="6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2024, 2023 and 2022</w:t>
            </w:r>
          </w:p>
        </w:tc>
        <w:tc>
          <w:tcPr>
            <w:tcW w:w="2320" w:type="dxa"/>
            <w:vAlign w:val="bottom"/>
            <w:gridSpan w:val="4"/>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412"/>
        </w:trPr>
        <w:tc>
          <w:tcPr>
            <w:tcW w:w="78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2024, 2023 and 2022</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412"/>
        </w:trPr>
        <w:tc>
          <w:tcPr>
            <w:tcW w:w="7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December 31, 2024, 2023 and 2022</w:t>
            </w:r>
          </w:p>
        </w:tc>
        <w:tc>
          <w:tcPr>
            <w:tcW w:w="16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412"/>
        </w:trPr>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61</w:t>
            </w: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00" w:type="dxa"/>
            <w:vAlign w:val="bottom"/>
            <w:tcBorders>
              <w:top w:val="single" w:sz="8" w:color="0000EE"/>
            </w:tcBorders>
            <w:gridSpan w:val="4"/>
          </w:tcPr>
          <w:p>
            <w:pPr>
              <w:spacing w:after="0"/>
              <w:rPr>
                <w:sz w:val="24"/>
                <w:szCs w:val="24"/>
                <w:color w:val="auto"/>
              </w:rPr>
            </w:pPr>
          </w:p>
        </w:tc>
        <w:tc>
          <w:tcPr>
            <w:tcW w:w="228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62</w:t>
            </w:r>
          </w:p>
        </w:tc>
        <w:tc>
          <w:tcPr>
            <w:tcW w:w="0" w:type="dxa"/>
            <w:vAlign w:val="bottom"/>
          </w:tcPr>
          <w:p>
            <w:pPr>
              <w:spacing w:after="0"/>
              <w:rPr>
                <w:sz w:val="1"/>
                <w:szCs w:val="1"/>
                <w:color w:val="auto"/>
              </w:rPr>
            </w:pPr>
          </w:p>
        </w:tc>
      </w:tr>
      <w:tr>
        <w:trPr>
          <w:trHeight w:val="453"/>
        </w:trPr>
        <w:tc>
          <w:tcPr>
            <w:tcW w:w="6180" w:type="dxa"/>
            <w:vAlign w:val="bottom"/>
            <w:gridSpan w:val="4"/>
          </w:tcPr>
          <w:p>
            <w:pPr>
              <w:ind w:left="5540"/>
              <w:spacing w:after="0"/>
              <w:rPr>
                <w:sz w:val="20"/>
                <w:szCs w:val="20"/>
                <w:color w:val="auto"/>
              </w:rPr>
            </w:pPr>
            <w:r>
              <w:rPr>
                <w:rFonts w:ascii="Times New Roman" w:cs="Times New Roman" w:eastAsia="Times New Roman" w:hAnsi="Times New Roman"/>
                <w:sz w:val="18"/>
                <w:szCs w:val="18"/>
                <w:color w:val="auto"/>
              </w:rPr>
              <w:t>55</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LeMaitre Vascular,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LeMaitre Vascular, Inc. (a Delaware corporation) and subsidiaries (the “Company”) as of December 31, 2024 and 2023, the related consolidated statements of operations,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the 2013 Internal Control—Integrated Framework issued by the Committee of Sponsoring Organizations of the Treadway Commission (“COSO”), and our report dated February 28, 2025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The 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LeMaitre Vascular,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w w:val="95"/>
              </w:rPr>
              <w:t>except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274,112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80,805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$1,369 at December 31, 2024 and $941 at December 31, 2023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and other deferred costs</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64,927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58,080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402,192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194,598</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24,800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leased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65,945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65,945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41,711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551,817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346,778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23,650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Acquisition-related obligations</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 short-term</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30,607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 long-term</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214,527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48,878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3,000,000 shares; none outstanding</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37,000,000 shares; issued 24,153,165 shares at December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and 23,911,760 shares at December 31, 2023</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213,760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200,755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145,090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115,430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(4,625)</w:t>
            </w: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1,603,825 shares at December 31, 2024 and 1,584,512 shares at December 31,</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(13,899)</w:t>
            </w:r>
          </w:p>
        </w:tc>
        <w:tc>
          <w:tcPr>
            <w:tcW w:w="0" w:type="dxa"/>
            <w:vAlign w:val="bottom"/>
          </w:tcPr>
          <w:p>
            <w:pPr>
              <w:spacing w:after="0"/>
              <w:rPr>
                <w:sz w:val="1"/>
                <w:szCs w:val="1"/>
                <w:color w:val="auto"/>
              </w:rPr>
            </w:pPr>
          </w:p>
        </w:tc>
      </w:tr>
      <w:tr>
        <w:trPr>
          <w:trHeight w:val="221"/>
        </w:trPr>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6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337,290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342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LeMaitre Vascular, Inc.</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28"/>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23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w w:val="93"/>
              </w:rPr>
              <w:t>thousands, except per share data)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219,863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193,484</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161,651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68,962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56,755</w:t>
            </w: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150,901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104,896</w:t>
            </w:r>
          </w:p>
        </w:tc>
      </w:tr>
      <w:tr>
        <w:trPr>
          <w:trHeight w:val="216"/>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46,737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32,921</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36,258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28,745</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15,650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13,294</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3,107</w:t>
            </w: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98,645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78,067</w:t>
            </w:r>
          </w:p>
        </w:tc>
      </w:tr>
      <w:tr>
        <w:trPr>
          <w:trHeight w:val="209"/>
        </w:trPr>
        <w:tc>
          <w:tcPr>
            <w:tcW w:w="12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52,256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26,829</w:t>
            </w: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4,949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(loss), net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r>
      <w:tr>
        <w:trPr>
          <w:trHeight w:val="210"/>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56,875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39,475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27,490</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6,854</w:t>
            </w:r>
          </w:p>
        </w:tc>
      </w:tr>
      <w:tr>
        <w:trPr>
          <w:trHeight w:val="210"/>
        </w:trPr>
        <w:tc>
          <w:tcPr>
            <w:tcW w:w="12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44,038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30,105</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20,636</w:t>
            </w:r>
          </w:p>
        </w:tc>
      </w:tr>
      <w:tr>
        <w:trPr>
          <w:trHeight w:val="197"/>
        </w:trPr>
        <w:tc>
          <w:tcPr>
            <w:tcW w:w="128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8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20" w:type="dxa"/>
            <w:vAlign w:val="bottom"/>
            <w:gridSpan w:val="2"/>
            <w:shd w:val="clear" w:color="auto" w:fill="CCEEFF"/>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540" w:type="dxa"/>
            <w:vAlign w:val="bottom"/>
            <w:gridSpan w:val="2"/>
            <w:shd w:val="clear" w:color="auto" w:fill="CCEEFF"/>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0.93</w:t>
            </w:r>
          </w:p>
        </w:tc>
      </w:tr>
      <w:tr>
        <w:trPr>
          <w:trHeight w:val="196"/>
        </w:trPr>
        <w:tc>
          <w:tcPr>
            <w:tcW w:w="128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22,452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22,217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8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22,779</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22,423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22,171</w:t>
            </w:r>
          </w:p>
        </w:tc>
      </w:tr>
      <w:tr>
        <w:trPr>
          <w:trHeight w:val="196"/>
        </w:trPr>
        <w:tc>
          <w:tcPr>
            <w:tcW w:w="128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0.56</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58</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LeMaitre Vascular, Inc.</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20,636</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w:t>
            </w: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(loss) on short-term marketable securities</w:t>
            </w: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(2,596)</w:t>
            </w:r>
          </w:p>
        </w:tc>
      </w:tr>
      <w:tr>
        <w:trPr>
          <w:trHeight w:val="210"/>
        </w:trPr>
        <w:tc>
          <w:tcPr>
            <w:tcW w:w="12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59</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LeMaitre Vascular, Inc.</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0" w:type="dxa"/>
            <w:vAlign w:val="bottom"/>
            <w:gridSpan w:val="5"/>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0" w:type="dxa"/>
            <w:vAlign w:val="bottom"/>
            <w:gridSpan w:val="5"/>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80" w:type="dxa"/>
            <w:vAlign w:val="bottom"/>
          </w:tcPr>
          <w:p>
            <w:pPr>
              <w:spacing w:after="0"/>
              <w:rPr>
                <w:sz w:val="19"/>
                <w:szCs w:val="19"/>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94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940" w:type="dxa"/>
            <w:vAlign w:val="bottom"/>
            <w:gridSpan w:val="3"/>
            <w:vMerge w:val="continue"/>
          </w:tcPr>
          <w:p>
            <w:pPr>
              <w:spacing w:after="0"/>
              <w:rPr>
                <w:sz w:val="19"/>
                <w:szCs w:val="19"/>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23,477,784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181,630</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88,125</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(3,435)</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1,554,905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(12,404)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254,151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20,636</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20,636</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(2,596)</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3,465</w:t>
            </w:r>
          </w:p>
        </w:tc>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 for</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settlement of equity awards</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13,690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4,173</w:t>
            </w: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cash dividend paid</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(10,988)</w:t>
            </w:r>
          </w:p>
        </w:tc>
        <w:tc>
          <w:tcPr>
            <w:tcW w:w="0" w:type="dxa"/>
            <w:vAlign w:val="bottom"/>
          </w:tcPr>
          <w:p>
            <w:pPr>
              <w:spacing w:after="0"/>
              <w:rPr>
                <w:sz w:val="1"/>
                <w:szCs w:val="1"/>
                <w:color w:val="auto"/>
              </w:rPr>
            </w:pPr>
          </w:p>
        </w:tc>
      </w:tr>
      <w:tr>
        <w:trPr>
          <w:trHeight w:val="216"/>
        </w:trPr>
        <w:tc>
          <w:tcPr>
            <w:tcW w:w="1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Other comprehensive income (loss) Issuance of common stock for stock options exercised</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Vested restricted stock units Repurchase of common stock for net settlement of equity awards Stock-based compensation expense Common stock cash dividend paid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23,655,716</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237</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189,268</w:t>
            </w: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97,773</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(6,031)</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1,568,595</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(13,046)</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268,201</w:t>
            </w:r>
          </w:p>
        </w:tc>
        <w:tc>
          <w:tcPr>
            <w:tcW w:w="40" w:type="dxa"/>
            <w:vAlign w:val="bottom"/>
          </w:tcPr>
          <w:p>
            <w:pPr>
              <w:spacing w:after="0"/>
              <w:rPr>
                <w:sz w:val="18"/>
                <w:szCs w:val="18"/>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30,105</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30,105</w:t>
            </w:r>
          </w:p>
        </w:tc>
      </w:tr>
      <w:tr>
        <w:trPr>
          <w:trHeight w:val="234"/>
        </w:trPr>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1,406</w:t>
            </w: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w:t>
            </w:r>
          </w:p>
        </w:tc>
        <w:tc>
          <w:tcPr>
            <w:tcW w:w="40" w:type="dxa"/>
            <w:vAlign w:val="bottom"/>
          </w:tcPr>
          <w:p>
            <w:pPr>
              <w:spacing w:after="0"/>
              <w:rPr>
                <w:sz w:val="20"/>
                <w:szCs w:val="20"/>
                <w:color w:val="auto"/>
              </w:rPr>
            </w:pPr>
          </w:p>
        </w:tc>
      </w:tr>
      <w:tr>
        <w:trPr>
          <w:trHeight w:val="414"/>
        </w:trPr>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207,643</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6,168</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6,170</w:t>
            </w:r>
          </w:p>
        </w:tc>
        <w:tc>
          <w:tcPr>
            <w:tcW w:w="40" w:type="dxa"/>
            <w:vAlign w:val="bottom"/>
          </w:tcPr>
          <w:p>
            <w:pPr>
              <w:spacing w:after="0"/>
              <w:rPr>
                <w:sz w:val="24"/>
                <w:szCs w:val="24"/>
                <w:color w:val="auto"/>
              </w:rPr>
            </w:pPr>
          </w:p>
        </w:tc>
      </w:tr>
      <w:tr>
        <w:trPr>
          <w:trHeight w:val="234"/>
        </w:trPr>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48,401</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414"/>
        </w:trPr>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15,917</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(853)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5,319</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5,319</w:t>
            </w:r>
          </w:p>
        </w:tc>
        <w:tc>
          <w:tcPr>
            <w:tcW w:w="4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(12,448)</w:t>
            </w: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-1370965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-1096645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-685165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-273685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580" w:space="100"/>
            <w:col w:w="85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6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23,911,760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115,430</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1,584,512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297,900</w:t>
            </w:r>
          </w:p>
        </w:tc>
      </w:tr>
      <w:tr>
        <w:trPr>
          <w:trHeight w:val="20"/>
        </w:trPr>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44,038</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44,038</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r>
      <w:tr>
        <w:trPr>
          <w:trHeight w:val="198"/>
        </w:trPr>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178,064</w:t>
            </w:r>
          </w:p>
        </w:tc>
        <w:tc>
          <w:tcPr>
            <w:tcW w:w="3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6,439</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restricted stock units</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56,201</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Vested performance-based</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7,140</w:t>
            </w:r>
          </w:p>
        </w:tc>
        <w:tc>
          <w:tcPr>
            <w:tcW w:w="3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 for</w:t>
            </w: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settlement of equity awards</w:t>
            </w: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19,313</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(1,719)</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6,568</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cash dividend paid</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(14,378)</w:t>
            </w:r>
          </w:p>
        </w:tc>
      </w:tr>
      <w:tr>
        <w:trPr>
          <w:trHeight w:val="216"/>
        </w:trPr>
        <w:tc>
          <w:tcPr>
            <w:tcW w:w="2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24,153,165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145,090</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(6,184)</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1,603,825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337,290</w:t>
            </w:r>
          </w:p>
        </w:tc>
      </w:tr>
      <w:tr>
        <w:trPr>
          <w:trHeight w:val="413"/>
        </w:trPr>
        <w:tc>
          <w:tcPr>
            <w:tcW w:w="2680" w:type="dxa"/>
            <w:vAlign w:val="bottom"/>
            <w:tcBorders>
              <w:top w:val="single" w:sz="8" w:color="CCEEFF"/>
            </w:tcBorders>
          </w:tcPr>
          <w:p>
            <w:pPr>
              <w:spacing w:after="0"/>
              <w:rPr>
                <w:sz w:val="24"/>
                <w:szCs w:val="24"/>
                <w:color w:val="auto"/>
              </w:rPr>
            </w:pPr>
          </w:p>
        </w:tc>
        <w:tc>
          <w:tcPr>
            <w:tcW w:w="5360" w:type="dxa"/>
            <w:vAlign w:val="bottom"/>
            <w:tcBorders>
              <w:top w:val="single" w:sz="8" w:color="auto"/>
            </w:tcBorders>
            <w:gridSpan w:val="9"/>
          </w:tcPr>
          <w:p>
            <w:pPr>
              <w:jc w:val="right"/>
              <w:ind w:right="11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2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60</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type w:val="continuous"/>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5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LeMaitre Vascular, Inc.</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30,105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20,636</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9,670</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9,433</w:t>
            </w:r>
          </w:p>
        </w:tc>
      </w:tr>
      <w:tr>
        <w:trPr>
          <w:trHeight w:val="216"/>
        </w:trPr>
        <w:tc>
          <w:tcPr>
            <w:tcW w:w="6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6,568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4,173</w:t>
            </w:r>
          </w:p>
        </w:tc>
      </w:tr>
      <w:tr>
        <w:trPr>
          <w:trHeight w:val="216"/>
        </w:trPr>
        <w:tc>
          <w:tcPr>
            <w:tcW w:w="6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Provision for inventory write-downs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w:t>
            </w:r>
          </w:p>
        </w:tc>
      </w:tr>
      <w:tr>
        <w:trPr>
          <w:trHeight w:val="216"/>
        </w:trPr>
        <w:tc>
          <w:tcPr>
            <w:tcW w:w="6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(benefit) for deferred income taxes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Loss on divestitures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r>
      <w:tr>
        <w:trPr>
          <w:trHeight w:val="216"/>
        </w:trPr>
        <w:tc>
          <w:tcPr>
            <w:tcW w:w="6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6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Fair value adjustments to contingent consideration obligations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building</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6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Loss on disposal of PP&amp;E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currency transaction effect on income</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6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(6,418)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r>
      <w:tr>
        <w:trPr>
          <w:trHeight w:val="216"/>
        </w:trPr>
        <w:tc>
          <w:tcPr>
            <w:tcW w:w="60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Inventory and other deferred costs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(10,574)</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(7,418)</w:t>
            </w:r>
          </w:p>
        </w:tc>
      </w:tr>
      <w:tr>
        <w:trPr>
          <w:trHeight w:val="216"/>
        </w:trPr>
        <w:tc>
          <w:tcPr>
            <w:tcW w:w="6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(3,096)</w:t>
            </w:r>
          </w:p>
        </w:tc>
      </w:tr>
      <w:tr>
        <w:trPr>
          <w:trHeight w:val="216"/>
        </w:trPr>
        <w:tc>
          <w:tcPr>
            <w:tcW w:w="60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44,124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25,378</w:t>
            </w: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short-term marketable securities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(277,938)</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related to acquisitions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building</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84,780</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(200,120)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(10,371)</w:t>
            </w: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convertible senior notes, net of issuance costs paid of</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$3,234</w:t>
            </w: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169,266</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paid related to issuance of convertible senior notes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cash dividend paid</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(14,378)</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(10,988)</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6,440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3,466</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treasury stock for net settlement of equity awards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acquisition consideration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r>
      <w:tr>
        <w:trPr>
          <w:trHeight w:val="20"/>
        </w:trPr>
        <w:tc>
          <w:tcPr>
            <w:tcW w:w="128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158,102</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(9,234)</w:t>
            </w:r>
          </w:p>
        </w:tc>
      </w:tr>
      <w:tr>
        <w:trPr>
          <w:trHeight w:val="216"/>
        </w:trPr>
        <w:tc>
          <w:tcPr>
            <w:tcW w:w="1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5,279</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24,269</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13,855</w:t>
            </w: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24,269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(see Notes 8 and 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right="7040" w:hanging="152"/>
        <w:spacing w:after="0" w:line="503" w:lineRule="auto"/>
        <w:tabs>
          <w:tab w:leader="none" w:pos="17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and Related Matters </w:t>
      </w:r>
      <w:r>
        <w:rPr>
          <w:rFonts w:ascii="Times New Roman" w:cs="Times New Roman" w:eastAsia="Times New Roman" w:hAnsi="Times New Roman"/>
          <w:sz w:val="18"/>
          <w:szCs w:val="18"/>
          <w:b w:val="1"/>
          <w:bCs w:val="1"/>
          <w:i w:val="1"/>
          <w:iCs w:val="1"/>
          <w:color w:val="auto"/>
        </w:rPr>
        <w:t>Description of Business</w:t>
      </w: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Unless the context requires otherwise, references to LeMaitre, LeMaitre Vascular, and the Company refer to LeMaitre Vascular, Inc. and its subsidiaries. The Company develops, manufactures, and markets medical devices and implants used primarily in the field of vascular surgery. The Company also derives revenues from the processing and cryopreservation of human tissues for implantation in patients. The Company operates in a single segment in which its principal product lines include the following: anastomotic clips, biologic vascular and dialysis grafts, biologic vascular and cardiac patches, carotid shunts, embolectomy catheters, occlusion catheters, radiopaque marking tape, synthetic vascular and dialysis grafts, and valvulotomes. The Company’s offices and production facilities are located in Burlington, Massachusetts; Fox River Grove, Illinois; North Brunswick, New Jersey; Vaughan, Canada; Sulzbach, Germany; Milan, Italy; Madrid, Spain; Hereford, England; Dublin, Ireland; Maisons-Alfort, France; Kensington, Australia; Tokyo, Japan; Shanghai, China; Singapore; Seoul, Korea; and Bangkok, Thailand.</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balances and transactions have been eliminated upon consolidation.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Balance sheet accounts of foreign subsidiaries are translated into U.S. dollars at year-end exchange rates. Operating accounts are translated at average exchange rates for each year. Net translation gains or losses are adjusted directly to a separate component of other comprehensive income (loss) within stockholders’ equity. Foreign exchange transaction gains (losses), substantially all of which relate to intercompany activity between the Company and its foreign subsidiaries, are included in other income (expense) in the accompanying consolidated statements of operations.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management to make estimates and assumptions that affect the amounts reported in the Company’s consolidated financial statements and accompanying notes. The Company is not aware of any specific event or circumstance that would require an update to its accounting estimates or adjustments to the carrying value of its assets and liabilities. The Company’s estimates and assumptions, including those related to credit losses, inventories, intangible assets, sales returns and discounts, share-based compensation, and income taxes, are reviewed on an ongoing basis and updated as appropriate. Actual results could differ from those estimates.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Company’s revenue is derived primarily from the sale of disposable or implantable devices used during vascular surgery. The Company sells primarily directly to hospitals and to a lesser extent to international distributors, as described below, and during the periods presented in its consolidated financial statements, entered into consigned inventory arrangements with either hospitals or distributors on a limited basis. The Company also derives revenues from the processing and cryopreservation of human tissues for implantation in patients. These revenues are recognized when services have been provided and the tissue has been shipped to the customer, provided all other revenue recognition criteria discussed in the succeeding paragraph have been met.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The Company records revenue under the provisions of ASU 2014-09,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The core principle of Topic</w:t>
      </w:r>
    </w:p>
    <w:p>
      <w:pPr>
        <w:spacing w:after="0" w:line="4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606 is that an entity should recognize revenue to depict the transfer of goods or services to customers in an amount that reflects the consideration to which the entity expects to be entitled in exchange for those goods or services. The standard explains that to achieve the core principle, an entity should take the following actions: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1: Identify the contract with a customer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22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a company satisfies a performance obligation by transferring a promised good or service to a customer (which is when the customer obtains control of that good or service). In instances in which shipping and handling activities are performed after a customer takes control of the goods (such as when title passes upon shipment from our dock), the Company made the policy election allowed under Topic 606 to account for these activities as fulfillment costs and not as performance obligations.</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references customer purchase orders to determine the existence of a contract. Orders that are not accompanied by a purchase order are confirmed with the customer either in writing or verbally. The purchase orders or similar correspondence, once accepted, identify the performance obligations as well as the transaction price, and otherwise outline the rights and obligations of each party. The Company allocates the transaction price of each contract among the performance obligations in accordance with the pricing of each item specified on the purchase order, which is in turn based on standalone selling prices per the Company’s published price lists. In cases where the Company discounts products or provides certain items free of charge, the Company allocates the discount proportionately to all performance obligations, unless the Company can demonstrate that the discount should be allocated entirely to one or more, but not all, of the performance obligations.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revenue, net of allowances for returns and discounts, fees paid to group purchasing organizations, and any sales and value added taxes required to be invoiced, which the Company has elected to exclude from the measurement of the transaction price as allowed by the standard, at the time of shipment (taking into consideration contractual shipping terms), or in the case of consigned inventory, when it is consumed. Shipment is the point at which control of the product and title passes to the Company’s customers and the Company has a present right to receive payment for the goods.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Below is a disaggregation of the Company’s revenue by major geographic area, which is among the primary categorizations used by management in evaluating financial performance, for the periods indicated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144,583</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130,308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109,439</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51,099</w:t>
            </w:r>
          </w:p>
        </w:tc>
        <w:tc>
          <w:tcPr>
            <w:tcW w:w="3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41,854</w:t>
            </w:r>
          </w:p>
        </w:tc>
      </w:tr>
      <w:tr>
        <w:trPr>
          <w:trHeight w:val="216"/>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219,863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193,484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161,651</w:t>
            </w:r>
          </w:p>
        </w:tc>
      </w:tr>
      <w:tr>
        <w:trPr>
          <w:trHeight w:val="20"/>
        </w:trPr>
        <w:tc>
          <w:tcPr>
            <w:tcW w:w="3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carry any contract assets or contract liabilities, as there are generally no unbilled amounts due from customers under contracts for which the Company has partially satisfied performance obligations, or amounts received from customers for which the Company has not satisfied performance obligations. The Company satisfies its performance obligations under revenue contracts within a short time period from receipt of the orders, and payments from customers are typically received within 30 to 60 days of fulfillment of the orders, except in certain geographies such as Italy, Spain, and France, where the payment cycle is customarily longer, but less than 12 months. Accordingly, there is no significant financing component to the Company’s revenue contracts. Additionally, the Company has elected as a policy that incremental costs (such as commissions) incurred to obtain contracts are expensed as incurred, due to the short-term nature of the contracts.</w:t>
      </w:r>
    </w:p>
    <w:p>
      <w:pPr>
        <w:spacing w:after="0" w:line="189"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Customers returning products may be entitled to full or partial credit based on the condition and timing of the return. To be accepted, a returned product must be unopened (if sterile), unadulterated, and undamaged, must have at least 18 months remaining prior to its expiration date, or 12 months for the Company’s hospital customers in Europe, and generally be returned within 30 days of shipment. These return policies apply to sales to both hospitals and distributors. The amount of products returned to the Company, either for exchange or credit, has not been material. Nevertheless, the Company provides for an allowance for future sales returns based on the percentage of 12 months historical returns applied against the Company’s recognized period sales, which requires judgment. The Company’s cost of replacing defective products has not been material and is accounted for at the time of replacement.</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research and development costs, principally compensation and related expenses, outside services, professional fees, testing, and supplies, as incurred.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records shipping and handling fees paid by customers within net sales, with the related expense recorded in cost of sales as incurred.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and includes them as a component of sales and marketing expense in the accompanying consolidated statements of operations. Advertising costs are as follows: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6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28"/>
        </w:trPr>
        <w:tc>
          <w:tcPr>
            <w:tcW w:w="3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maturity dates of 90 days or less to be cash equivalents. Cash and cash equivalents are primarily invested in money market funds. These amounts are stated at cost, which approximates fair value.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Short-term Marketable Securitie</w:t>
      </w:r>
      <w:r>
        <w:rPr>
          <w:rFonts w:ascii="Times New Roman" w:cs="Times New Roman" w:eastAsia="Times New Roman" w:hAnsi="Times New Roman"/>
          <w:sz w:val="18"/>
          <w:szCs w:val="18"/>
          <w:color w:val="auto"/>
        </w:rPr>
        <w: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short-term marketable securities are available-for-sale securities carried at fair value, with unrealized gains and losses recorded in other comprehensive income. The Company’s short-term marketable securities consist of a U.S. government money market fund investing mainly in high-quality, short-term securities that are issued or guaranteed by the U.S. government or by U.S. government agencies and instrumentalities, and a short-duration bond fund.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cash and cash equivalents and accounts receivable. Cash equivalents represent highly liquid investments with maturities of 90 days or less at the date of purchase. Credit risk related to cash and cash equivalents are limited based on the creditworthiness of the financial institutions at which these funds are held. The Company maintains cash balances in several banks. Accounts located in the United States are insured by the Federal Deposit Insurance Corporation (“FDIC”) up to $250,000. Certain account balances exceed the FDIC limit. Cash balances held outside the United States totaled approximately $10.9 million as of December 31, 2024.</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are with customers based in the United States and internationally. Accounts receivable generally are due within 30 to 60 days of invoice and are stated at amounts due from customers, net of an allowance for credit losses and sales returns, other than in certain European markets where the payment cycle is customarily longer. Opening balance accounts receivable at January 1, 2023 was $22.0 million. The Company performs ongoing credit evaluations of the financial condition of its customers and adjusts credit limits based upon payment history and the current creditworthiness of the customers, as determined by a review of their current credit information. The Company continuously monitors aging reports, collections, and payments from customers, and maintains a provision for estimated credit losses based upon historical experience and any specific customer collection issues the Company identifies.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closely monitors outstanding receivables for potential collection risks, including those that may arise from economic conditions, in both the United States and international economies. The Company’s European sales to government-owned or supported customers such as hospitals, distributors and agents, particularly in Italy, Spain, and France, may be subject to significant payment delays due to government austerity measures impacting funding and payment practices. As of December 31, 2024, the Company’s receivables in Italy, Spain, and France totaled $1.1 million, $0.9 million and $1.8 million, respectively. Receivables balances with certain government-owned hospitals and government-supported customers in these countries can accumulate over a period of time and then subsequently be settled as lump sum payments. While the Company believes its allowance for credit losses in these countries is adequate as of December 31, 2024, if significant changes were to occur in the payment practices of these European governments or if government funding becomes unavailable, the Company may not be able to collect on receivables due to it from these customers and the Company’s write offs of uncollectible amounts may increase.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writes off accounts receivable when they become uncollectible. Such credit losses have historically been within the Company’s expectations and allowances. The allowance for credit losses is the Company’s best estimate of the amount of probable credit losses in its existing accounts receivable. The Company reviews its allowance for credit losses on a monthly basis and examines all past due balances individually for collectability. The Company records the provision for the allowance for credit losses in general and administrative expenses. The following is a summary of the Company’s allowance for credit losses and sales returns:</w:t>
      </w:r>
    </w:p>
    <w:p>
      <w:pPr>
        <w:spacing w:after="0" w:line="39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40" w:type="dxa"/>
            <w:vAlign w:val="bottom"/>
          </w:tcPr>
          <w:p>
            <w:pPr>
              <w:spacing w:after="0"/>
              <w:rPr>
                <w:sz w:val="18"/>
                <w:szCs w:val="18"/>
                <w:color w:val="auto"/>
              </w:rPr>
            </w:pPr>
          </w:p>
        </w:tc>
        <w:tc>
          <w:tcPr>
            <w:tcW w:w="12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Additions</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16"/>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8"/>
                <w:szCs w:val="18"/>
                <w:color w:val="auto"/>
              </w:rPr>
            </w:pPr>
          </w:p>
        </w:tc>
        <w:tc>
          <w:tcPr>
            <w:tcW w:w="12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charged</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5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of Period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to Income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w:t>
            </w:r>
          </w:p>
        </w:tc>
        <w:tc>
          <w:tcPr>
            <w:tcW w:w="14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w w:val="71"/>
              </w:rPr>
              <w:t>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and sales returns: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r>
    </w:tbl>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2023 and 2022 no single customer accounted for more than 2% of the Company’s net sales.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short-term marketable securities, accounts receivable, and trade payables. The fair value of these instruments approximates their carrying value based upon their short-term nature or variable rates of interest. The Company records unrealized gains and losses on its short-term marketable securities in other comprehensive income. As of December 31, 2024 and 2023, the Company’s short-term marketable securities reflected an unrealized loss of $1.0 million and $1.2 million, respectively, as a result of increasing market interest rates.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Inventory and Other Deferred Costs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Inventory and other deferred costs consists of finished products, work-in-process, raw materials and costs deferred in connection with human tissue cryopreservation services of the Company’s RestoreFlow allograft business. The Company values inventory and other deferred costs at the lower of standard cost (which approximates actual cost on a first-in, first-out basis) and net realizable value. Inventory costs include direct materials, direct labor, and manufacturing overhead. On a quarterly basis, the Company reviews inventory quantities on hand and analyzes the provision for excess and obsolete inventory based primarily on product expiration dating and the Company’s estimated sales forecast, which is based on sales history and anticipated future demand. The Company’s estimates of future product demand may not be accurate, and the Company may understate or overstate the provision required for excess and obsolete inventory. Accordingly, any significant unanticipated changes in demand could have a significant impact on the value of the Company’s inventory and results of operations.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capitalizes qualifying set-up and implementation costs related to the Company’s cloud computing arrangements. The deferred costs are amortized over the term of the associated cloud computing arrangement on a straight-line basis which is representative of the pattern in which the Company expects to benefit from access to the cloud computing arrangement.</w:t>
      </w:r>
    </w:p>
    <w:p>
      <w:pPr>
        <w:spacing w:after="0" w:line="176"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includes capitalized cloud computing implementation costs in prepaid expenses and other current assets and other assets on the consolidated balance sheet. The following is a summary of the Company’s capitalized cloud computing arrangements: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w w:val="71"/>
              </w:rPr>
              <w:t>thousands)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cloud computing arrangements</w:t>
            </w:r>
          </w:p>
        </w:tc>
        <w:tc>
          <w:tcPr>
            <w:tcW w:w="31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5,121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0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arrangements, net</w:t>
            </w:r>
          </w:p>
        </w:tc>
        <w:tc>
          <w:tcPr>
            <w:tcW w:w="31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4,747</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12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states property and equipment at cost, net of accumulated depreciation. The Company computes depreciation over the estimated useful lives of the related assets using straight-line method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20" w:type="dxa"/>
            <w:vAlign w:val="bottom"/>
          </w:tcPr>
          <w:p>
            <w:pPr>
              <w:spacing w:after="0"/>
              <w:rPr>
                <w:sz w:val="20"/>
                <w:szCs w:val="20"/>
                <w:color w:val="auto"/>
              </w:rPr>
            </w:pPr>
          </w:p>
        </w:tc>
        <w:tc>
          <w:tcPr>
            <w:tcW w:w="4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100" w:type="dxa"/>
            <w:vAlign w:val="bottom"/>
          </w:tcPr>
          <w:p>
            <w:pPr>
              <w:spacing w:after="0"/>
              <w:rPr>
                <w:sz w:val="20"/>
                <w:szCs w:val="20"/>
                <w:color w:val="auto"/>
              </w:rPr>
            </w:pPr>
          </w:p>
        </w:tc>
      </w:tr>
      <w:tr>
        <w:trPr>
          <w:trHeight w:val="210"/>
        </w:trPr>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Computer hardware</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w:t>
            </w:r>
          </w:p>
        </w:tc>
      </w:tr>
      <w:tr>
        <w:trPr>
          <w:trHeight w:val="216"/>
        </w:trPr>
        <w:tc>
          <w:tcPr>
            <w:tcW w:w="6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Machinery and equipment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216"/>
        </w:trPr>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Building and leasehold improvements</w:t>
            </w:r>
          </w:p>
        </w:tc>
        <w:tc>
          <w:tcPr>
            <w:tcW w:w="1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The shorter of its useful life or remaining lease term</w:t>
            </w: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When assets are retired or disposed, the Company eliminates the asset’s original cost and related accumulated depreciation from the accounts and any gain or loss is reflected in the statement of operations. The Company charges maintenance and repairs to operations as incurred.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Valuation of Business Combinations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assigns the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using a variety of methods. The Company typically engages an independent appraiser to perform the assessment, so as to measure fair value from the perspective of a market participant.</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has accounted for acquisitions using the acquisition method, and the acquired companies’ results have been included in the accompanying consolidated financial statements from their respective dates of acquisition. The Company has recorded acquisition transaction costs in general and administrative expenses and expensed such costs as incurred. The Company bases allocation of the purchase price for acquisitions on estimates of the fair value of the net assets acquired, subject to adjustment upon finalization of the purchase price allocation.</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Company’s acquisitions have historically been made at prices above the fair value of the acquired assets, resulting in goodwill due to expectations of synergies of combining the businesses. These synergies include use of the Company’s existing commercial infrastructure to expand sales of the acquired businesses’ products, use of the commercial infrastructure of the acquired businesses to cost-effectively expand sales of the Company’s products, and the elimination of redundant facilities, functions, and staffing.</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contingent consideration for acquisitions at the date of acquisition, based on the fair value at that date, and then re-measures periodically, which may result in adjustments to net income.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340" w:firstLine="324"/>
        <w:spacing w:after="0" w:line="273" w:lineRule="auto"/>
        <w:rPr>
          <w:sz w:val="20"/>
          <w:szCs w:val="20"/>
          <w:color w:val="auto"/>
        </w:rPr>
      </w:pPr>
      <w:r>
        <w:rPr>
          <w:rFonts w:ascii="Times New Roman" w:cs="Times New Roman" w:eastAsia="Times New Roman" w:hAnsi="Times New Roman"/>
          <w:sz w:val="17"/>
          <w:szCs w:val="17"/>
          <w:color w:val="auto"/>
        </w:rPr>
        <w:t>The Company reviews its long-lived assets (primarily property and equipment, intangible assets, and right-of-use assets) subject to amortization quarterly to determine if any adverse conditions exist or a change in circumstances has occurred that would indicate impairment or a change in the remaining useful life. Conditions that may indicate impairment include, but are not limited to, a significant adverse change in legal factors or business climate that could affect the value of an asset, a product recall, or an adverse action or assessment by a regulator. If an impairment indicator exists, the Company tests the intangible asset for recoverability. The Company records impairment losses on long-lived assets used in operations when events and circumstances indicate that the assets might be impaired and the undiscounted cash flows estimated to be generated by those assets are less than the carrying amount of those assets. The Company measures impairment based on the fair market value of the affected asset using discounted cash flows.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Goodwill represents the amount of consideration paid in connection with business acquisitions in excess of the fair value of assets acquired and liabilities assumed. The Company evaluates goodwill for impairment annually, or more frequently if indicators of impairment are present or changes in circumstances suggest that an impairment may exist. The Company evaluates the December 31 balance of the carrying value of goodwill based on a single reporting unit annually. The Company performs an assessment of qualitative factors to determine if it is “more likely than not” that the fair value of the Company’s reporting unit is less than its carrying value as a basis for determining whether it is necessary to perform the quantitative goodwill impairment test. The “more likely than not” threshold is defined as having a likelihood of more than 50 percent. 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is recognized in an amount equal to that excess, limited to the total amount of goodwill allocated to that reporting unit. The Company has determined that no goodwill impairment charges were required for the years ended December 31, 2024, 2023, or 2022.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patents, trademarks, technology licenses, and customer relationships acquired in connection with business acquisitions and asset acquisitions. The Company amortizes intangible assets over their estimated useful lives, ranging from 2 to 16 years.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as expense the estimated fair value of stock options to employees determined using the Black-Scholes option pricing model. The Company records share-based compensation charges across the consolidated statement of operations based upon the grantee’s primary function. The Company has elected to recognize the compensation cost of all share-based awards on a straight-line basis over the vesting period of the award. Reversal of expense for forfeited awards due to the termination of an employee are recognized in the period of termination. In periods that the Company grants stock options, fair value assumptions are based on volatility, interest, dividend yield, and expected term over which the stock options will be outstanding. The computation of expected volatility is based on the historical volatility of the Company’s stock. The Company bases the interest rate for periods within the contractual life of the award on the U.S. Treasury risk-free interest rate in effect at the time of grant. Historical data on exercise patterns is the basis for estimating the expected life of an option. The Company calculates the expected annual dividend rate by dividing the Company’s annual dividend, based on the most recent quarterly dividend rate, by the closing price of the Common Stock on the grant date.</w:t>
      </w:r>
    </w:p>
    <w:p>
      <w:pPr>
        <w:spacing w:after="0" w:line="18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also issues restricted stock units (RSUs) and performance-based restricted stock units (PSUs) as additional forms of equity compensation to its employees, officers, and directors, pursuant to its stockholder-approved 2006 Stock Option and Incentive Plan (as subsequently amended and restated, the “2006 Stock Incentive Plan”). RSUs entitle the grantee to an issuance of stock at no cost to the grantee and generally vest over a period of time determined by the Company’s Board of Directors at the time of grant. PSUs granted are based on achievement of the Company’s operating income compared to budgeted operating income as approved by the Company’s Board of Directors. The Company determines the fair market value of the award based on the number of RSUs and PSUs granted and the market value of the Company’s common stock on the grant date. The Company amortizes the fair market value of the award to expense over the period of vesting. Unvested RSUs and PSUs are forfeited and canceled as of the date that employment or service to the Company terminates. RSUs and PSUs are settled in shares of the Company’s common stock upon vesting. The Company typically repurchases common stock upon its employees’ vesting in RSUs and PSUs in order to cover any minimum tax withholding liability as a result of the awards having vested.</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by assessing whether the arrangement contains an identified asset and whether the lessee has the right to control such asset. The Company is required to classify leases as either finance or operating leases and to record a right-of-use asset and a lease liability for all leases with a term greater than 12 months regardless of the lease classification.</w:t>
      </w:r>
    </w:p>
    <w:p>
      <w:pPr>
        <w:spacing w:after="0" w:line="17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lease classification will determine whether the lease expense is recognized based on an effective interest rate method or on a straight-line basis over the term of the lease. The Company determines the initial classification and measurement of its right-of-use assets and lease liabilities at the lease commencement date and thereafter, if modified.</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its operating leases with a lease term of 12 months or greater, the Company recognized a right-of-use asset and a lease liability on its consolidated balance sheets. The lease liability is determined as the present value of future lease payments using an estimated rate of interest that the Company would have to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Operating lease cost for the operating lease is recognized on a straight-line basis over the lease term and is included in operating expenses on the consolidated statements of operations. The Company elected the practical expedients to exclude from its balance sheets recognition of leases having a term of 12 months or less (short-term leases).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proceedings, lawsuits, and other claims and assessments for matters related to, among other things, patent infringement, business acquisitions, employment, commercial matters and product recalls. The Company assesses the likelihood of any adverse judgments or outcomes to these matters as well as potential ranges of probable losses. The Company makes a determination of the amount of reserves required, if any, for these contingencies after careful analysis of each individual issue. The required reserves may change in the future due to new developments or changes in approach, such as a change in settlement strategy in dealing with each matter. The Company records charges for anticipated losses in connection with litigation and claims against it when the Company concludes a loss is probable and can be reasonably estimated. The Company expenses legal costs associated with loss contingencies as incurred. During the years ended December 31, 2024, 2023, and 2022, the Company was not subject to any material litigation or claims and assessments.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Sales of medical devices outside the U.S. are subject to international regulatory requirements that vary from country to country. These requirements and the amount of time required for approval may differ from the Company’s experiences with the U.S. Food and Drug Administration (“FDA”). In the European Union (“EU”), the Company is required to obtain Conformité Européenne (“CE”) marks for its products, which denote conformity to essential requirements for manufacturers of higher-risk devices. Failure to obtain, retain or maintain these CE marks would impact the Company’s ability to sell our products in certain EU countries and could cause our business to suffer.</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of accounting for income taxes. Under the asset and liability method, the Company determines deferred taxes based on the difference between the financial reporting and tax bases of assets and liabilities using enacted tax rates in effect in the years in which the differences are expected to reverse. The provision for income taxes includes taxes currently payable and deferred taxes resulting from the tax effects of temporary differences between the financial statement and tax bases of assets and liabilities. The Company maintains valuation allowances where it is more likely than not that all or a portion of a deferred tax asset will not be realized. The Company includes changes in the valuation allowances in the Company’s tax provision in the period of change. In determining whether a valuation allowance is warranted, the Company evaluates factors such as prior earnings history, expected future earnings, carry-back and carry-forward periods, and tax strategies that could potentially enhance the likelihood of the realization of a deferred tax asset.</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measures, presents, and discloses in its financial statements, uncertain tax positions that it has taken or expects to take on a tax return. The Company recognizes in its financial statements the impact of tax positions that meet a “more likely than not” threshold, based on the technical merits of the position. The Company measures the tax benefits recognized in the financial statements from such a position based on the largest benefit that has a greater than 50 percent likelihood of being realized upon ultimate settlement.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policy is to classify interest and penalties related to unrecognized tax benefits as income tax expense.</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a business enterprise during a period from transactions and other events and circumstances from non-owner sources. Other than reported net income, comprehensive income includes foreign currency translation adjustments and unrealized gains and losses on the Company’s marketable securities, which are disclosed in the accompanying consolidated statements of comprehensive income. There were no reclassifications out of comprehensive income for the years ended December 31, 2024, 2023, or 2022.</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restructuring charges incurred in connection with consolidation or relocation of operations, exited business lines, reductions in force, or distributor terminations. The Company bases these restructuring charges, which reflect the Company’s commitment to a termination or exit plan, on estimates of the expected costs associated with site closure, legal matters, contract terminations, severance payments, or other costs directly related to the restructuring. If the actual cost incurred exceeds the estimated cost, an additional charge to earnings will result. If the actual cost is less than the estimated cost, the Company will recognize a credit to earnings.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computes basic net income per common share by dividing the net income by the weighted average number of shares of common stock outstanding for the period. Diluted net income per common share is computed by dividing net income by the weighted average number of shares of common stock outstanding for the period, including potential dilutive common shares assuming the dilutive effect of outstanding stock awards, using the treasury stock method, and outstanding convertible notes, using the if-converted method.</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excluded potential dilutive securities from the computation of diluted net loss per share that would be anti-dilutive to net income per share. The Company excluded the following potential common shares, presented based on amounts outstanding at each period end, from the computation of diluted net income per share attributable to common stockholders for the periods indicated above because including them would have had an anti-dilutive effect: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77227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77227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Convertible senior notes</w:t>
      </w:r>
    </w:p>
    <w:p>
      <w:pPr>
        <w:spacing w:after="0" w:line="23" w:lineRule="exact"/>
        <w:rPr>
          <w:sz w:val="20"/>
          <w:szCs w:val="20"/>
          <w:color w:val="auto"/>
        </w:rPr>
      </w:pPr>
    </w:p>
    <w:p>
      <w:pPr>
        <w:ind w:left="660" w:right="20" w:hanging="161"/>
        <w:spacing w:after="0" w:line="260" w:lineRule="auto"/>
        <w:rPr>
          <w:sz w:val="20"/>
          <w:szCs w:val="20"/>
          <w:color w:val="auto"/>
        </w:rPr>
      </w:pPr>
      <w:r>
        <w:rPr>
          <w:rFonts w:ascii="Times New Roman" w:cs="Times New Roman" w:eastAsia="Times New Roman" w:hAnsi="Times New Roman"/>
          <w:sz w:val="18"/>
          <w:szCs w:val="18"/>
          <w:color w:val="auto"/>
        </w:rPr>
        <w:t>Shares excluded in computing diluted earnings per share as those shares would be anti-dilutive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computation of basic and diluted net income per share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7722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07"/>
        </w:trPr>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200" w:type="dxa"/>
            <w:vAlign w:val="bottom"/>
          </w:tcPr>
          <w:p>
            <w:pPr>
              <w:spacing w:after="0"/>
              <w:rPr>
                <w:sz w:val="24"/>
                <w:szCs w:val="24"/>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294,580</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291,753</w:t>
            </w:r>
          </w:p>
        </w:tc>
      </w:tr>
      <w:tr>
        <w:trPr>
          <w:trHeight w:val="216"/>
        </w:trPr>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4"/>
        </w:trPr>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1,440,737</w:t>
            </w:r>
          </w:p>
        </w:tc>
        <w:tc>
          <w:tcPr>
            <w:tcW w:w="20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385"/>
        </w:trPr>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1,453,445</w:t>
            </w:r>
          </w:p>
        </w:tc>
        <w:tc>
          <w:tcPr>
            <w:tcW w:w="200" w:type="dxa"/>
            <w:vAlign w:val="bottom"/>
          </w:tcPr>
          <w:p>
            <w:pPr>
              <w:spacing w:after="0"/>
              <w:rPr>
                <w:sz w:val="24"/>
                <w:szCs w:val="24"/>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294,580</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293,053</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3880" w:type="dxa"/>
            <w:vAlign w:val="bottom"/>
            <w:tcBorders>
              <w:bottom w:val="single" w:sz="8" w:color="auto"/>
            </w:tcBorders>
            <w:gridSpan w:val="6"/>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20" w:type="dxa"/>
            <w:vAlign w:val="bottom"/>
            <w:tcBorders>
              <w:bottom w:val="single" w:sz="8" w:color="auto"/>
            </w:tcBorders>
          </w:tcPr>
          <w:p>
            <w:pPr>
              <w:spacing w:after="0"/>
              <w:rPr>
                <w:sz w:val="24"/>
                <w:szCs w:val="24"/>
                <w:color w:val="auto"/>
              </w:rPr>
            </w:pPr>
          </w:p>
        </w:tc>
      </w:tr>
      <w:tr>
        <w:trPr>
          <w:trHeight w:val="210"/>
        </w:trPr>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(in</w:t>
            </w: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thousands, except per share data)</w:t>
            </w:r>
          </w:p>
        </w:tc>
        <w:tc>
          <w:tcPr>
            <w:tcW w:w="1020" w:type="dxa"/>
            <w:vAlign w:val="bottom"/>
          </w:tcPr>
          <w:p>
            <w:pPr>
              <w:spacing w:after="0"/>
              <w:rPr>
                <w:sz w:val="19"/>
                <w:szCs w:val="19"/>
                <w:color w:val="auto"/>
              </w:rPr>
            </w:pPr>
          </w:p>
        </w:tc>
      </w:tr>
    </w:tbl>
    <w:p>
      <w:pPr>
        <w:spacing w:after="0" w:line="197" w:lineRule="exact"/>
        <w:rPr>
          <w:sz w:val="20"/>
          <w:szCs w:val="20"/>
          <w:color w:val="auto"/>
        </w:rPr>
      </w:pPr>
    </w:p>
    <w:p>
      <w:pPr>
        <w:sectPr>
          <w:pgSz w:w="11900" w:h="16838" w:orient="portrait"/>
          <w:cols w:equalWidth="0" w:num="2">
            <w:col w:w="5700" w:space="460"/>
            <w:col w:w="5060"/>
          </w:cols>
          <w:pgMar w:left="320" w:top="121" w:right="359" w:bottom="1440" w:gutter="0" w:footer="0" w:header="0"/>
          <w:type w:val="continuous"/>
        </w:sectPr>
      </w:pPr>
    </w:p>
    <w:tbl>
      <w:tblPr>
        <w:tblLayout w:type="fixed"/>
        <w:tblInd w:w="500" w:type="dxa"/>
        <w:tblCellMar>
          <w:top w:w="0" w:type="dxa"/>
          <w:left w:w="0" w:type="dxa"/>
          <w:bottom w:w="0" w:type="dxa"/>
          <w:right w:w="0" w:type="dxa"/>
        </w:tblCellMar>
      </w:tblPr>
      <w:tr>
        <w:trPr>
          <w:trHeight w:val="216"/>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available for common stockholders</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44,038</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30,105</w:t>
            </w: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22,452</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22,217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21,975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78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56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640" w:type="dxa"/>
            <w:vAlign w:val="bottom"/>
            <w:gridSpan w:val="2"/>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available for common stockholders</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44,038</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30,105</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22,452</w:t>
            </w:r>
          </w:p>
        </w:tc>
        <w:tc>
          <w:tcPr>
            <w:tcW w:w="56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22,217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21,975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equivalents, if dilutive</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used in computing diluted earnings per common share</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22,779</w:t>
            </w:r>
          </w:p>
        </w:tc>
        <w:tc>
          <w:tcPr>
            <w:tcW w:w="5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excluded in computing diluted earnings per share as those shares</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94"/>
        </w:trPr>
        <w:tc>
          <w:tcPr>
            <w:tcW w:w="54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would be anti-dilutive</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ASU 2020-06, which simplify the accounting related to convertible debt instruments by removing major separation models required under current GAAP. Accordingly, the Company does not bifurcate the liability and equity components of the convertible debt on its consolidated balance sheets. The Company’s convertible debt is reflected as a liability on the Company’s consolidated balance sheets, with the initial carrying amount equal to the principal amount of the debt, net of issuance costs. The issuance costs are treated as a debt discount for accounting purposes, which will be amortized into interest expense over the term of the instruments utilizing the effective interest method. The Company accounts for its convertible debt as a single liability with no separate accounting for embedded conversion features.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12 for further information on the Company’s reportable segment.</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in the process of evaluating the impact of this pronouncement on its related disclosures.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related disclosures.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Induced Conversions of Convertible Debt Instruments. The new guidance clarifies the assessment of whether a transaction should be accounted for as an induced conversion or extinguishment of convertible debt when changes are made to conversion features as part of an offer to settle the instrument. The guidance is effective for fiscal years beginning after December 15, 2025, with early adoption permitted, and it can be adopted either on a prospective or retrospective basis. The Company is currently in the process of evaluating the impact of this pronouncement on its related disclosures.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Divestitures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April 26, 2022, the Company committed to a plan to close its St. Etienne, France factory, which supported its LeMaitre Cardial SAS (Cardial) business, in order to streamline manufacturing operations and reduce expenses. The Cardial business consisted of the manufacture of polyester vascular grafts, valvulotomes, surgical glue, and selected OEM devices. The Company acquired the Cardial business in 2018.</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June 30, 2022, the Company ceased operations at the St. Etienne, France factory. The closure resulted in a restructuring charge of $3.1 million for the year ended December 31, 2022. These charges primarily consisted of employment termination costs, impairment of fixed assets and inventory, and third-party costs.</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recorded additional restructuring expenses of $0.5 million. The additional expenses consisted primarily of employment termination, settlement, legal, and other third-party costs.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 and Other Deferred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Inventory and other deferred costs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-119380</wp:posOffset>
            </wp:positionV>
            <wp:extent cx="606044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06044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Finished products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Other deferred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044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2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Total inventory and other deferred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1"/>
        </w:trPr>
        <w:tc>
          <w:tcPr>
            <w:tcW w:w="560" w:type="dxa"/>
            <w:vAlign w:val="bottom"/>
          </w:tcPr>
          <w:p>
            <w:pPr>
              <w:spacing w:after="0"/>
              <w:rPr>
                <w:sz w:val="16"/>
                <w:szCs w:val="16"/>
                <w:color w:val="auto"/>
              </w:rPr>
            </w:pPr>
          </w:p>
        </w:tc>
        <w:tc>
          <w:tcPr>
            <w:tcW w:w="9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(in</w:t>
            </w:r>
          </w:p>
        </w:tc>
        <w:tc>
          <w:tcPr>
            <w:tcW w:w="920" w:type="dxa"/>
            <w:vAlign w:val="bottom"/>
            <w:gridSpan w:val="2"/>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w w:val="76"/>
              </w:rPr>
              <w:t>thousands)</w:t>
            </w:r>
          </w:p>
        </w:tc>
        <w:tc>
          <w:tcPr>
            <w:tcW w:w="800" w:type="dxa"/>
            <w:vAlign w:val="bottom"/>
          </w:tcPr>
          <w:p>
            <w:pPr>
              <w:spacing w:after="0"/>
              <w:rPr>
                <w:sz w:val="16"/>
                <w:szCs w:val="16"/>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18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r>
      <w:tr>
        <w:trPr>
          <w:trHeight w:val="216"/>
        </w:trPr>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31,131</w:t>
            </w:r>
          </w:p>
        </w:tc>
      </w:tr>
      <w:tr>
        <w:trPr>
          <w:trHeight w:val="234"/>
        </w:trPr>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425"/>
        </w:trPr>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64,927</w:t>
            </w:r>
          </w:p>
        </w:tc>
        <w:tc>
          <w:tcPr>
            <w:tcW w:w="180" w:type="dxa"/>
            <w:vAlign w:val="bottom"/>
          </w:tcPr>
          <w:p>
            <w:pPr>
              <w:spacing w:after="0"/>
              <w:rPr>
                <w:sz w:val="24"/>
                <w:szCs w:val="24"/>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58,080</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40" w:space="720"/>
            <w:col w:w="4140"/>
          </w:cols>
          <w:pgMar w:left="320" w:top="121" w:right="37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The Company had inventory on consignment at customer sites of $1.8 million and $2.0 million at December 31, 2024 and 2023, respectively.</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Company’s RestoreFlow allograft business, other deferred costs include costs incurred for the preservation of human tissues available for shipment, tissues currently in active processing, and tissues held in quarantine pending release to implantable status. By federal law, human tissues cannot be bought or sold. Therefore, the tissues the Company preserves are not held as inventory, and the costs the Company incurs to procure and process vascular tissues are instead accumulated and deferred. These costs include fixed and variable overhead costs associated with the cryopreservation process, including primarily direct labor costs, tissue recovery fees, inbound freight charges, indirect materials, and facilities costs. The Company expenses general and administrative expenses and selling expenses associated with the provision of these services as incurred.</w:t>
      </w:r>
    </w:p>
    <w:p>
      <w:pPr>
        <w:sectPr>
          <w:pgSz w:w="11900" w:h="16838" w:orient="portrait"/>
          <w:cols w:equalWidth="0" w:num="1">
            <w:col w:w="11200"/>
          </w:cols>
          <w:pgMar w:left="320" w:top="121" w:right="379" w:bottom="1440" w:gutter="0" w:footer="0" w:header="0"/>
          <w:type w:val="continuous"/>
        </w:sectPr>
      </w:pP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Computer hardware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Building and leasehold improvements</w:t>
      </w:r>
    </w:p>
    <w:p>
      <w:pPr>
        <w:spacing w:after="0" w:line="2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Gross property and equipment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340" w:type="dxa"/>
            <w:vAlign w:val="bottom"/>
          </w:tcPr>
          <w:p>
            <w:pPr>
              <w:spacing w:after="0"/>
              <w:rPr>
                <w:sz w:val="16"/>
                <w:szCs w:val="16"/>
                <w:color w:val="auto"/>
              </w:rPr>
            </w:pPr>
          </w:p>
        </w:tc>
        <w:tc>
          <w:tcPr>
            <w:tcW w:w="120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(in</w:t>
            </w:r>
          </w:p>
        </w:tc>
        <w:tc>
          <w:tcPr>
            <w:tcW w:w="6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w w:val="71"/>
              </w:rPr>
              <w:t>thousands)</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5,319</w:t>
            </w:r>
          </w:p>
        </w:tc>
      </w:tr>
      <w:tr>
        <w:trPr>
          <w:trHeight w:val="216"/>
        </w:trPr>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16,942</w:t>
            </w:r>
          </w:p>
        </w:tc>
      </w:tr>
      <w:tr>
        <w:trPr>
          <w:trHeight w:val="234"/>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20,981</w:t>
            </w:r>
          </w:p>
        </w:tc>
      </w:tr>
      <w:tr>
        <w:trPr>
          <w:trHeight w:val="20"/>
        </w:trPr>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49,016</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43,242</w:t>
            </w:r>
          </w:p>
        </w:tc>
      </w:tr>
      <w:tr>
        <w:trPr>
          <w:trHeight w:val="234"/>
        </w:trPr>
        <w:tc>
          <w:tcPr>
            <w:tcW w:w="34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(24,216)</w:t>
            </w:r>
          </w:p>
        </w:tc>
        <w:tc>
          <w:tcPr>
            <w:tcW w:w="5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(21,488)</w:t>
            </w:r>
          </w:p>
        </w:tc>
      </w:tr>
      <w:tr>
        <w:trPr>
          <w:trHeight w:val="20"/>
        </w:trPr>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16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21,754</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-1139190</wp:posOffset>
            </wp:positionV>
            <wp:extent cx="570039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-864870</wp:posOffset>
            </wp:positionV>
            <wp:extent cx="570039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-582295</wp:posOffset>
            </wp:positionV>
            <wp:extent cx="570039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-299720</wp:posOffset>
            </wp:positionV>
            <wp:extent cx="570039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080" w:space="720"/>
            <w:col w:w="4440"/>
          </w:cols>
          <w:pgMar w:left="320" w:top="121" w:right="339" w:bottom="1440" w:gutter="0" w:footer="0" w:header="0"/>
        </w:sect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wrote off fully depreciated assets with gross values of $0.9 million, $7.1 million, and $0.5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expense was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1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1120" w:type="dxa"/>
            <w:vAlign w:val="bottom"/>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Intangibles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Other intangibles consisted of the following:</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2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1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Product technology and intellectual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CEEFF"/>
            </w:tcBorders>
            <w:shd w:val="clear" w:color="auto" w:fill="CCEEFF"/>
          </w:tcPr>
          <w:p>
            <w:pPr>
              <w:spacing w:after="0"/>
              <w:rPr>
                <w:sz w:val="20"/>
                <w:szCs w:val="20"/>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10,840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29,549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16,048</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tradenames and licenses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13,709</w:t>
            </w: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23,462</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26,107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09"/>
        </w:trPr>
        <w:tc>
          <w:tcPr>
            <w:tcW w:w="328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72,023</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6"/>
              </w:rPr>
              <w:t>35,819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72,130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30,419</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41,711</w:t>
            </w:r>
          </w:p>
        </w:tc>
      </w:tr>
      <w:tr>
        <w:trPr>
          <w:trHeight w:val="20"/>
        </w:trPr>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is amortizing these assets over useful lives ranging from 2 to 16 years. The weighted-average amortization period for these intangibles as of December 31, 2024, is 8.5 years. The Company includes amortization expense in general and administrative expense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11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11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1120" w:type="dxa"/>
            <w:vAlign w:val="bottom"/>
          </w:tcPr>
          <w:p>
            <w:pPr>
              <w:spacing w:after="0"/>
              <w:rPr>
                <w:sz w:val="22"/>
                <w:szCs w:val="22"/>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6,183</w:t>
            </w:r>
          </w:p>
        </w:tc>
        <w:tc>
          <w:tcPr>
            <w:tcW w:w="1140" w:type="dxa"/>
            <w:vAlign w:val="bottom"/>
          </w:tcPr>
          <w:p>
            <w:pPr>
              <w:spacing w:after="0"/>
              <w:rPr>
                <w:sz w:val="22"/>
                <w:szCs w:val="22"/>
                <w:color w:val="auto"/>
              </w:rPr>
            </w:pPr>
          </w:p>
        </w:tc>
      </w:tr>
      <w:tr>
        <w:trPr>
          <w:trHeight w:val="413"/>
        </w:trPr>
        <w:tc>
          <w:tcPr>
            <w:tcW w:w="112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amortization expense for each of the next five fiscal years, based upon the intangible assets at December 31,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60" w:type="dxa"/>
            <w:vAlign w:val="bottom"/>
          </w:tcPr>
          <w:p>
            <w:pPr>
              <w:spacing w:after="0"/>
              <w:rPr>
                <w:sz w:val="20"/>
                <w:szCs w:val="20"/>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4,423</w:t>
            </w:r>
          </w:p>
        </w:tc>
      </w:tr>
      <w:tr>
        <w:trPr>
          <w:trHeight w:val="20"/>
        </w:trPr>
        <w:tc>
          <w:tcPr>
            <w:tcW w:w="66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5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Convertible Senior Notes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3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Convertible senior notes consisted of the following:</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convertible senior notes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8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Current portion of convertible senior notes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of current portion</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8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(4,728)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gridSpan w:val="3"/>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of discount and current portion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167,772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On December 19, 2024, the Company issued $172.5 million aggregate principal amount of convertible senior notes due 2030 (the “Convertible Notes”), in a Rule 144A private placement to qualified institutional buyers pursuant to an indenture dated December 19, 2024, by and between the Company and U.S. Bank Trust Company, National Association (the “Indenture”).</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Convertible Notes will mature on February 1, 2030, unless earlier repurchased, redeemed, or converted. The proceeds from the issuance of the Convertible Notes were approximately $167.7 million, net of initial purchaser discounts and other debt issuance costs totaling $4.8 million.</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2.50% per year and interest is payable semiannually in arrears on August 1 and February 1 of each year. The initial conversion rate is 8.3521 shares of common stock per $1,000 principal amount of the Convertible Notes, which represents an initial conversion price of approximately $119.73 per share of common stock and a premium of approximately 30% over the closing price of the Company’s common stock on December 16, 2024. The conversion rate and conversion price are subject to customary adjustments upon the occurrence of certain events as described in the Indenture.</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Noteholders may convert all or a portion of their Convertible Notes at their option only in the following circumstances: (1) during any calendar quarter commencing after the calendar quarter ending on June 30, 2025, if the last reported sale price per share of the Company’s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five consecutive trading day period in which the trading price per $1,000 principal amount of Convertible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described in the Indenture; (4) if the Company calls (or is deemed to have called) any Convertible Notes for redemption; and (5) at any time from, and including, August 1, 2029, until the close of business on the second scheduled trading day immediately before the maturity date. The Company has the right to elect to settle conversions either in cash, shares of its common stock, or in a combination of cash and shares of its common stock.</w:t>
      </w:r>
    </w:p>
    <w:p>
      <w:pPr>
        <w:spacing w:after="0" w:line="194" w:lineRule="exact"/>
        <w:rPr>
          <w:sz w:val="20"/>
          <w:szCs w:val="20"/>
          <w:color w:val="auto"/>
        </w:rPr>
      </w:pPr>
    </w:p>
    <w:p>
      <w:pPr>
        <w:jc w:val="both"/>
        <w:ind w:right="580" w:firstLine="324"/>
        <w:spacing w:after="0" w:line="261" w:lineRule="auto"/>
        <w:rPr>
          <w:sz w:val="20"/>
          <w:szCs w:val="20"/>
          <w:color w:val="auto"/>
        </w:rPr>
      </w:pPr>
      <w:r>
        <w:rPr>
          <w:rFonts w:ascii="Times New Roman" w:cs="Times New Roman" w:eastAsia="Times New Roman" w:hAnsi="Times New Roman"/>
          <w:sz w:val="18"/>
          <w:szCs w:val="18"/>
          <w:color w:val="auto"/>
        </w:rPr>
        <w:t>Additional interest of up to 0.5% per annum is payable if the Company fails to timely file required documents or reports with the Securities and Exchange Commission (“SEC”) or the Convertible Notes become not freely tradable (as defined in the Indenture). The Company determined that the higher interest payments required in certain circumstances were embedded derivatives that should be bifurcated and accounted for at fair value. The Company assessed the value of the embedded derivatives at December 31, 2024 and determined it was de minimis.</w:t>
      </w:r>
    </w:p>
    <w:p>
      <w:pPr>
        <w:spacing w:after="0" w:line="18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Prior to February 5, 2028, the Convertible Notes will not be redeemable. On or after February 5, 2028 until the fortieth trading day immediately before the maturity date, the Company may redeem for cash all or any portion of the Convertible Notes (subject to the partial redemption limitation set forth in the Indenture), at its option,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In addition, calling any Convertible Note for redemption will constitute a “Make-Whole Fundamental Change” (as defined in the Indenture) with respect to that Convertible Note, in which case the conversion rate applicable to the conversion of that Convertible Note will be increased in certain circumstances if it is converted after it is called for redemption.</w:t>
      </w:r>
    </w:p>
    <w:p>
      <w:pPr>
        <w:sectPr>
          <w:pgSz w:w="11900" w:h="16838" w:orient="portrait"/>
          <w:cols w:equalWidth="0" w:num="1">
            <w:col w:w="11320"/>
          </w:cols>
          <w:pgMar w:left="320" w:top="121" w:right="259" w:bottom="1440" w:gutter="0" w:footer="0" w:header="0"/>
        </w:sectPr>
      </w:pP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Convertible Notes as a single liability in accordance with ASC 470-20 as the Company concluded that embedded conversion features within the Convertible Notes do not meet the requirements for bifurcation. Initial purchaser discounts and other debt issuance costs related to the Convertible Notes totaling $4.8 million were recorded by the Company as a debt discount. The debt discount is reflected as a reduction of the carrying value of the Convertible Notes on the Company’s consolidated balance sheets and is being accreted to interest expense over the term of the Convertible Notes using the effective interest method. During the year ended December 31, 2024, the Company recognized $0.2 million in interest expense related to the 2.50% cash coupon of the Convertible Notes and amortization of the debt issuance costs. During the year ended December 31, 2024, the effective interest rate on the outstanding Convertible Notes was approximately 3.1%.</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estimated fair value of the Convertible Notes was $178.6 million. The Company determined the fair value based on the quoted price of the last trade of the Convertible Notes prior to the end of the reporting period in an inactive market, which is considered as Level 2 in the fair value hierarchy.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340" w:right="2500" w:hanging="332"/>
        <w:spacing w:after="0" w:line="582" w:lineRule="auto"/>
        <w:tabs>
          <w:tab w:leader="none" w:pos="196"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Long-term Liabilities </w:t>
      </w:r>
      <w:r>
        <w:rPr>
          <w:rFonts w:ascii="Times New Roman" w:cs="Times New Roman" w:eastAsia="Times New Roman" w:hAnsi="Times New Roman"/>
          <w:sz w:val="17"/>
          <w:szCs w:val="17"/>
          <w:color w:val="auto"/>
        </w:rPr>
        <w:t>Accrued expenses consist of the following:</w:t>
      </w:r>
    </w:p>
    <w:p>
      <w:pPr>
        <w:spacing w:after="0" w:line="3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Compensation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and other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Accrued interest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Acquisition-related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1"/>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(in</w:t>
            </w:r>
          </w:p>
        </w:tc>
        <w:tc>
          <w:tcPr>
            <w:tcW w:w="9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thousands)</w:t>
            </w:r>
          </w:p>
        </w:tc>
        <w:tc>
          <w:tcPr>
            <w:tcW w:w="800" w:type="dxa"/>
            <w:vAlign w:val="bottom"/>
          </w:tcPr>
          <w:p>
            <w:pPr>
              <w:spacing w:after="0"/>
              <w:rPr>
                <w:sz w:val="16"/>
                <w:szCs w:val="16"/>
                <w:color w:val="auto"/>
              </w:rPr>
            </w:pPr>
          </w:p>
        </w:tc>
      </w:tr>
      <w:tr>
        <w:trPr>
          <w:trHeight w:val="216"/>
        </w:trPr>
        <w:tc>
          <w:tcPr>
            <w:tcW w:w="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425"/>
        </w:trPr>
        <w:tc>
          <w:tcPr>
            <w:tcW w:w="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1"/>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(in</w:t>
            </w:r>
          </w:p>
        </w:tc>
        <w:tc>
          <w:tcPr>
            <w:tcW w:w="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thousands)</w:t>
            </w:r>
          </w:p>
        </w:tc>
        <w:tc>
          <w:tcPr>
            <w:tcW w:w="760" w:type="dxa"/>
            <w:vAlign w:val="bottom"/>
          </w:tcPr>
          <w:p>
            <w:pPr>
              <w:spacing w:after="0"/>
              <w:rPr>
                <w:sz w:val="16"/>
                <w:szCs w:val="16"/>
                <w:color w:val="auto"/>
              </w:rPr>
            </w:pPr>
          </w:p>
        </w:tc>
      </w:tr>
      <w:tr>
        <w:trPr>
          <w:trHeight w:val="216"/>
        </w:trPr>
        <w:tc>
          <w:tcPr>
            <w:tcW w:w="6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4"/>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426"/>
        </w:trPr>
        <w:tc>
          <w:tcPr>
            <w:tcW w:w="6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6620" w:space="720"/>
            <w:col w:w="3860"/>
          </w:cols>
          <w:pgMar w:left="320" w:top="121" w:right="37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180" w:right="8500" w:hanging="172"/>
        <w:spacing w:after="0" w:line="503" w:lineRule="auto"/>
        <w:tabs>
          <w:tab w:leader="none" w:pos="19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manufacturing and distribution, as well as automobiles and printing equipment. As of December 31, 2024, the Company had the following building and facility leases capitalized on the balance sheet: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 (leases)</w:t>
            </w:r>
          </w:p>
        </w:tc>
        <w:tc>
          <w:tcPr>
            <w:tcW w:w="3940" w:type="dxa"/>
            <w:vAlign w:val="bottom"/>
            <w:gridSpan w:val="2"/>
          </w:tcPr>
          <w:p>
            <w:pPr>
              <w:jc w:val="right"/>
              <w:ind w:right="172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Approx. Sq. Ft.</w:t>
            </w: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09"/>
        </w:trPr>
        <w:tc>
          <w:tcPr>
            <w:tcW w:w="3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Burlington, MA (4)</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Corporate headquarters and manufacturing</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96,476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2034</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North Brunswick, NJ</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Artegraft biologic business</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2029</w:t>
            </w: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Burlington, MA</w:t>
            </w:r>
          </w:p>
        </w:tc>
        <w:tc>
          <w:tcPr>
            <w:tcW w:w="3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2030</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Fox River Grove, IL</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RestoreFlow allografts business</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2026</w:t>
            </w: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Fox River Grove, IL</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RestoreFlow allografts business</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2025</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Vaughn, Canada</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Canada sales office and distribution</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2026</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Sulzbach, Germany</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European headquarters and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2031</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Milan, Italy</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Italy sales office and distribution</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2027</w:t>
            </w: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Hereford, England</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United Kingdom sales office and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2029</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Maisons-Alfort, France</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France sales office</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2030</w:t>
            </w: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Zurich, Switzerland</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Switzerland sales office and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2030</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Madrid, Spain</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Spain sales office</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2029</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Tokyo, Japan</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Japan sales office and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2025</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Shanghai, China</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China sales office and distribution</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2027</w:t>
            </w: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Bangkok, Thailand</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Thailand sales office and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2026</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Kensington, Australia</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Australia sales office and distribution</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2025</w:t>
            </w: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Seoul, Korea</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Korea sales office and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2027</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Singapore</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Asia Pacific headquarters and distribution</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2026</w:t>
            </w:r>
          </w:p>
        </w:tc>
      </w:tr>
      <w:tr>
        <w:trPr>
          <w:trHeight w:val="216"/>
        </w:trPr>
        <w:tc>
          <w:tcPr>
            <w:tcW w:w="3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Shanghai, China</w:t>
            </w:r>
          </w:p>
        </w:tc>
        <w:tc>
          <w:tcPr>
            <w:tcW w:w="3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China sales office and distribution</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2025</w:t>
            </w:r>
          </w:p>
        </w:tc>
      </w:tr>
      <w:tr>
        <w:trPr>
          <w:trHeight w:val="216"/>
        </w:trPr>
        <w:tc>
          <w:tcPr>
            <w:tcW w:w="3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Ballarat, Australia</w:t>
            </w:r>
          </w:p>
        </w:tc>
        <w:tc>
          <w:tcPr>
            <w:tcW w:w="3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Supply facility</w:t>
            </w:r>
          </w:p>
        </w:tc>
        <w:tc>
          <w:tcPr>
            <w:tcW w:w="2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Up to 350 acres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2030</w:t>
            </w: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lease minimum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8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None of the Company’s noncancelable lease payments include non-lease components such as maintenance contracts. The Company generally reimburses the landlord for direct operating costs associated with the leased space. The Company has no subleases, and there are no residual value guarantees associated with, or restrictive covenants imposed by, any of its leases. The Company held no assets under capital leases as of December 31, 2024. The Company elected the package of practical expedients that allow it to omit leases with initial terms of 12 months or less from its balance sheet, which the Company expenses on a straight-line basis over the life of the lease.</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Additional information with respect to the Company’s leases is as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602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020" w:type="dxa"/>
            <w:vAlign w:val="bottom"/>
            <w:gridSpan w:val="2"/>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vMerge w:val="continue"/>
            <w:shd w:val="clear" w:color="auto" w:fill="CCEEFF"/>
          </w:tcPr>
          <w:p>
            <w:pPr>
              <w:spacing w:after="0"/>
              <w:rPr>
                <w:sz w:val="20"/>
                <w:szCs w:val="20"/>
                <w:color w:val="auto"/>
              </w:rPr>
            </w:pPr>
          </w:p>
        </w:tc>
        <w:tc>
          <w:tcPr>
            <w:tcW w:w="16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5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5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40" w:type="dxa"/>
            <w:vAlign w:val="bottom"/>
          </w:tcPr>
          <w:p>
            <w:pPr>
              <w:spacing w:after="0"/>
              <w:rPr>
                <w:sz w:val="21"/>
                <w:szCs w:val="21"/>
                <w:color w:val="auto"/>
              </w:rPr>
            </w:pPr>
          </w:p>
        </w:tc>
        <w:tc>
          <w:tcPr>
            <w:tcW w:w="6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5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1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minimum noncancelable operating lease rental commitments with initial or remaining terms of more than one year are as follows: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80" w:type="dxa"/>
            <w:vAlign w:val="bottom"/>
            <w:shd w:val="clear" w:color="auto" w:fill="CCEEFF"/>
          </w:tcPr>
          <w:p>
            <w:pPr>
              <w:jc w:val="right"/>
              <w:ind w:right="643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3,775</w:t>
            </w:r>
          </w:p>
        </w:tc>
      </w:tr>
      <w:tr>
        <w:trPr>
          <w:trHeight w:val="216"/>
        </w:trPr>
        <w:tc>
          <w:tcPr>
            <w:tcW w:w="7380" w:type="dxa"/>
            <w:vAlign w:val="bottom"/>
          </w:tcPr>
          <w:p>
            <w:pPr>
              <w:jc w:val="right"/>
              <w:ind w:right="643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3,204</w:t>
            </w:r>
          </w:p>
        </w:tc>
      </w:tr>
      <w:tr>
        <w:trPr>
          <w:trHeight w:val="216"/>
        </w:trPr>
        <w:tc>
          <w:tcPr>
            <w:tcW w:w="7380" w:type="dxa"/>
            <w:vAlign w:val="bottom"/>
            <w:shd w:val="clear" w:color="auto" w:fill="CCEEFF"/>
          </w:tcPr>
          <w:p>
            <w:pPr>
              <w:jc w:val="right"/>
              <w:ind w:right="643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2,731</w:t>
            </w:r>
          </w:p>
        </w:tc>
      </w:tr>
      <w:tr>
        <w:trPr>
          <w:trHeight w:val="216"/>
        </w:trPr>
        <w:tc>
          <w:tcPr>
            <w:tcW w:w="7380" w:type="dxa"/>
            <w:vAlign w:val="bottom"/>
          </w:tcPr>
          <w:p>
            <w:pPr>
              <w:jc w:val="right"/>
              <w:ind w:right="643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2,608</w:t>
            </w:r>
          </w:p>
        </w:tc>
      </w:tr>
      <w:tr>
        <w:trPr>
          <w:trHeight w:val="216"/>
        </w:trPr>
        <w:tc>
          <w:tcPr>
            <w:tcW w:w="7380" w:type="dxa"/>
            <w:vAlign w:val="bottom"/>
            <w:shd w:val="clear" w:color="auto" w:fill="CCEEFF"/>
          </w:tcPr>
          <w:p>
            <w:pPr>
              <w:jc w:val="right"/>
              <w:ind w:right="643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7380" w:type="dxa"/>
            <w:vAlign w:val="bottom"/>
          </w:tcPr>
          <w:p>
            <w:pPr>
              <w:jc w:val="right"/>
              <w:ind w:right="637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net present value as of December 31, 2024</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(5,484)</w:t>
            </w:r>
          </w:p>
        </w:tc>
      </w:tr>
      <w:tr>
        <w:trPr>
          <w:trHeight w:val="216"/>
        </w:trPr>
        <w:tc>
          <w:tcPr>
            <w:tcW w:w="7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noncancelable lease liability</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17,913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part of the Company’s normal course of business, the Company has commitments to purchase approximately $17.5 million of inventory through 2025. These purchases are to be used in the normal course of business and do not represent excess commitments or loss contracts.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 was as follows: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28"/>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37,356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26,274</w:t>
            </w:r>
          </w:p>
        </w:tc>
      </w:tr>
      <w:tr>
        <w:trPr>
          <w:trHeight w:val="216"/>
        </w:trPr>
        <w:tc>
          <w:tcPr>
            <w:tcW w:w="1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1,216</w:t>
            </w:r>
          </w:p>
        </w:tc>
      </w:tr>
      <w:tr>
        <w:trPr>
          <w:trHeight w:val="210"/>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39,475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27,490</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of the Company’s foreign subsidiaries are included in the Company’s U.S. tax return as branches but are included as foreign for purposes of the table above.</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(benefit) for income taxes was as follows: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 thousands)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5,063</w:t>
            </w:r>
          </w:p>
        </w:tc>
      </w:tr>
      <w:tr>
        <w:trPr>
          <w:trHeight w:val="216"/>
        </w:trPr>
        <w:tc>
          <w:tcPr>
            <w:tcW w:w="50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50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1,084</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w:t>
            </w:r>
          </w:p>
        </w:tc>
      </w:tr>
      <w:tr>
        <w:trPr>
          <w:trHeight w:val="210"/>
        </w:trPr>
        <w:tc>
          <w:tcPr>
            <w:tcW w:w="50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8,587</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7,036</w:t>
            </w:r>
          </w:p>
        </w:tc>
      </w:tr>
      <w:tr>
        <w:trPr>
          <w:trHeight w:val="216"/>
        </w:trPr>
        <w:tc>
          <w:tcPr>
            <w:tcW w:w="50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616</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0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0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50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783</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10"/>
        </w:trPr>
        <w:tc>
          <w:tcPr>
            <w:tcW w:w="50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6,854</w:t>
            </w:r>
          </w:p>
        </w:tc>
      </w:tr>
      <w:tr>
        <w:trPr>
          <w:trHeight w:val="20"/>
        </w:trPr>
        <w:tc>
          <w:tcPr>
            <w:tcW w:w="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Company has reviewed the tax positions taken, or to be taken, in its tax returns for all tax years currently open to examination by a taxing authority. As of December 31, 2024, the gross amount of unrecognized tax benefits exclusive of interest and penalties was $0.5 million, which may increase within the 12 months ending December 31, 2025. The Company remains subject to examination until the statute of limitations expires for each remaining respective tax jurisdiction. The statute of limitations will be open with respect to these tax positions through 2031. A reconciliation of the beginning and ending amount of the Company’s unrecognized tax benefits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the beginning of year</w:t>
            </w:r>
          </w:p>
        </w:tc>
        <w:tc>
          <w:tcPr>
            <w:tcW w:w="19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Additions/adjustments for tax positions of current year</w:t>
            </w: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Additions/adjustments for tax positions of prior years</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settlements with taxing authorities</w:t>
            </w: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lapses of the applicable statutes of limitations</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the end of the year</w:t>
            </w:r>
          </w:p>
        </w:tc>
        <w:tc>
          <w:tcPr>
            <w:tcW w:w="86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Deferred taxes were attributable to the following temporary differences: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1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w w:val="76"/>
              </w:rPr>
              <w:t>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2,682</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2,280</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774</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6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1,138</w:t>
            </w: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422</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Reserves and accruals</w:t>
            </w:r>
          </w:p>
        </w:tc>
        <w:tc>
          <w:tcPr>
            <w:tcW w:w="96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908</w:t>
            </w: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3,419</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3,721</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4,488</w:t>
            </w: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4,503</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746</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2,526</w:t>
            </w: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1,741</w:t>
            </w:r>
          </w:p>
        </w:tc>
      </w:tr>
      <w:tr>
        <w:trPr>
          <w:trHeight w:val="209"/>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17,103</w:t>
            </w: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16,260</w:t>
            </w:r>
          </w:p>
        </w:tc>
      </w:tr>
      <w:tr>
        <w:trPr>
          <w:trHeight w:val="216"/>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(3,166)</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(2,996)</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(7,039)</w:t>
            </w:r>
          </w:p>
        </w:tc>
        <w:tc>
          <w:tcPr>
            <w:tcW w:w="9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(6,311)</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(3,152)</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(3,472)</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branch deferred offset</w:t>
            </w:r>
          </w:p>
        </w:tc>
        <w:tc>
          <w:tcPr>
            <w:tcW w:w="96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9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r>
      <w:tr>
        <w:trPr>
          <w:trHeight w:val="209"/>
        </w:trPr>
        <w:tc>
          <w:tcPr>
            <w:tcW w:w="84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7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(14,110)</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(13,662)</w:t>
            </w:r>
          </w:p>
        </w:tc>
      </w:tr>
      <w:tr>
        <w:trPr>
          <w:trHeight w:val="210"/>
        </w:trPr>
        <w:tc>
          <w:tcPr>
            <w:tcW w:w="84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7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2,993</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2,598</w:t>
            </w:r>
          </w:p>
        </w:tc>
      </w:tr>
      <w:tr>
        <w:trPr>
          <w:trHeight w:val="216"/>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(1,653)</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(1,702)</w:t>
            </w:r>
          </w:p>
        </w:tc>
      </w:tr>
      <w:tr>
        <w:trPr>
          <w:trHeight w:val="210"/>
        </w:trPr>
        <w:tc>
          <w:tcPr>
            <w:tcW w:w="84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7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840" w:type="dxa"/>
            <w:vAlign w:val="bottom"/>
          </w:tcPr>
          <w:p>
            <w:pPr>
              <w:spacing w:after="0"/>
              <w:rPr>
                <w:sz w:val="22"/>
                <w:szCs w:val="22"/>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1,340</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w:t>
            </w:r>
          </w:p>
        </w:tc>
      </w:tr>
      <w:tr>
        <w:trPr>
          <w:trHeight w:val="197"/>
        </w:trPr>
        <w:tc>
          <w:tcPr>
            <w:tcW w:w="840" w:type="dxa"/>
            <w:vAlign w:val="bottom"/>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7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classification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Long-term deferred tax asset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1,425</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84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7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840" w:type="dxa"/>
            <w:vAlign w:val="bottom"/>
          </w:tcPr>
          <w:p>
            <w:pPr>
              <w:spacing w:after="0"/>
              <w:rPr>
                <w:sz w:val="20"/>
                <w:szCs w:val="20"/>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long-term deferred tax asset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1,340</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2022, the Company decreased its valuation allowance by $0.1 million mainly attributable to Australian net operating loss carry forwards and Massachusetts credit carryforwards. In 2023, the Company increased its valuation allowance by $0.1 million mainly attributable to Australian net operating loss carry forwards and Massachusetts credit carryforwards. In 2024, the Company decreased its valuation allowance by less than $0.1 million, with this decrease being mainly attributable to Australian net operating loss carry forwards and Massachusetts credit carryforwards.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provided a valuation allowance of $1.7 million for deferred tax assets primarily related to Australian net operating loss and capital loss carry forwards and Massachusetts tax credit carry forwards that are not expected to be realized. The valuation allowance against the Company’s deferred tax assets may require adjustment in the future based on changes in the mix of temporary differences, changes in tax laws, and operating performance.</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on the Company generating sufficient taxable income in future periods. Although the Company believes it is more likely than not that future taxable income will be sufficient to allow it to recover substantially all of the value of its deferred tax assets remaining after the Company applies the valuation allowances, realization is not assured and future events could cause the Company to change its judgment. In the event that actual results differ from the Company’s estimates, or the Company adjusts these estimates in the future periods, further adjustments to the Company’s valuation allowance may be recorded, which could materially impact its financial position and net income (loss) in the period of the adjustment.</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net operating loss carryforwards in Australia of $1.0 million that do not expire, in France of $1.3 million that do not expire, in Spain of $0.5 million that do not expire, in Norway of $0.1 million that do not expire, and in China of $0.3 million that expire in three years. The Company has a capital loss carryforward in Australia of $1.4 million that does not expire. The Company also has state tax credit carryforwards of approximately $1.8 million that are available to reduce future tax liabilities, which begin to expire in 2030, or can be carried forward indefinitely.</w:t>
      </w:r>
    </w:p>
    <w:p>
      <w:pPr>
        <w:sectPr>
          <w:pgSz w:w="11900" w:h="16838" w:orient="portrait"/>
          <w:cols w:equalWidth="0" w:num="1">
            <w:col w:w="11240"/>
          </w:cols>
          <w:pgMar w:left="320" w:top="108"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December 2018, the Company reevaluated its international operations and as a result, is no longer indefinitely reinvested with respect to undistributed earnings from its German and Australian subsidiaries. There was no material deferred tax expense recorded for foreign and state tax costs associated with the future remittance of these undistributed earnings. The Company remains permanently reinvested with respect to undistributed earnings from our other foreign subsidiaries. The Company has determined that it is not practicable to estimate the amount of deferred tax liability, if any, with respect to these permanently reinvested undistributed earnings.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U.S. federal statutory rate to the Company’s effective tax rate is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5340" w:type="dxa"/>
            <w:vAlign w:val="bottom"/>
            <w:gridSpan w:val="2"/>
          </w:tcPr>
          <w:p>
            <w:pPr>
              <w:ind w:left="48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r>
      <w:tr>
        <w:trPr>
          <w:trHeight w:val="210"/>
        </w:trPr>
        <w:tc>
          <w:tcPr>
            <w:tcW w:w="4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taxes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tax on foreign income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deferred tax liability offset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 tax credits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43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0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not currently under income tax audit in any tax jurisdictions.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Company remains subject to examination in our most significant tax jurisdictions as follows:</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2020 and forward</w:t>
            </w:r>
          </w:p>
        </w:tc>
      </w:t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2016 and forward</w:t>
            </w:r>
          </w:p>
        </w:tc>
      </w:tr>
      <w:tr>
        <w:trPr>
          <w:trHeight w:val="414"/>
        </w:trPr>
        <w:tc>
          <w:tcPr>
            <w:tcW w:w="57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w w:val="99"/>
              </w:rPr>
              <w:t>Supplemental disclosures of cash flow information are as follows: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8,343</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as amended (the “Certificate of Incorporation”), authorizes the issuance of up to 37,000,000 shares of common stock and up to 3,000,000 shares of undesignated preferred stock.</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Certificate of Incorporation, the Company’s board of directors is authorized to issue shares of the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 Currently, the Company has no shares of preferred stock outstanding.</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Award Plans</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May 2006 the Company approved the 2006 Stock Incentive Plan, which became effective upon the Company’s initial public offering, and which has been subsequently amended. The maximum number of shares of common stock reserved and available for issuance under the 2006 Stock Incentive Plan is the sum of (i) 6,500,000 shares, and (ii) such number of shares as equals that number of stock options or awards returned to the Company’s 1997 Stock Option Plan, 1998 Stock Option Plan, 2000 Stock Option Plan, and 2004 Stock Option Plan, each as amended and in effect from time to time (following the original effective date of the 2006 Stock Incentive Option and Incentive Plan), resulting from the expiration, cancellation, or termination of stock options or awards under those plans. The 2006 Stock Incentive Plan allows for the granting of incentive stock options, non-qualified stock options, stock appreciation rights, restricted stock units (“RSUs”), performance-based RSUs (“PSUs”), unrestricted stock awards, and deferred stock awards to the Company’s officers, employees, directors, and consultants. Incentive stock options are required to be issued at not less than fair market value at the date of the grant and generally vest over four or five years. The Company’s board of directors determines the term of the options but in no event will exceed ten years from date of grant. In connection with the adoption of the 2006 Stock Incentive Plan, no further option grants were permitted under any previous stock option plans. The Company may satisfy awards upon exercise of stock options, RSUs, or PSUs with either newly issued shares or treasury shares.</w:t>
      </w:r>
    </w:p>
    <w:p>
      <w:pPr>
        <w:spacing w:after="0" w:line="19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 total of 8,118,003 shares are currently authorized for under the 2006 Stock Incentive Plan, of which 1,105,266 remain available for grant as of December 31,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computed the fair value of employee stock options granted each year using the following weighted average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6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option term (in years)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share of options granted</w:t>
            </w:r>
          </w:p>
        </w:tc>
        <w:tc>
          <w:tcPr>
            <w:tcW w:w="2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34.99</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20.75</w:t>
            </w: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shd w:val="clear" w:color="auto" w:fill="CCEEFF"/>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21" w:right="2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as of December 31, 2024, and for the three years then ended is presented below:</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2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28"/>
        </w:trPr>
        <w:tc>
          <w:tcPr>
            <w:tcW w:w="5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r>
      <w:tr>
        <w:trPr>
          <w:trHeight w:val="198"/>
        </w:trPr>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at December 31, 2021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846,754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33.83</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13,888</w:t>
            </w:r>
          </w:p>
        </w:tc>
      </w:tr>
      <w:tr>
        <w:trPr>
          <w:trHeight w:val="216"/>
        </w:trPr>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47.21</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(133,963)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 / Expired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35.53</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outstanding at December 31,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859,975</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12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7,878</w:t>
            </w:r>
          </w:p>
        </w:tc>
      </w:tr>
      <w:tr>
        <w:trPr>
          <w:trHeight w:val="20"/>
        </w:trPr>
        <w:tc>
          <w:tcPr>
            <w:tcW w:w="5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148,115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(207,643)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29.72</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Canceled / 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41.55</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outstanding at December 31,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10,924</w:t>
            </w:r>
          </w:p>
        </w:tc>
      </w:tr>
      <w:tr>
        <w:trPr>
          <w:trHeight w:val="196"/>
        </w:trPr>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101.12</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(178,064)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36.16</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 / Expired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47.06</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outstanding at December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719,436</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54.57</w:t>
            </w:r>
          </w:p>
        </w:tc>
        <w:tc>
          <w:tcPr>
            <w:tcW w:w="12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28,160</w:t>
            </w:r>
          </w:p>
        </w:tc>
      </w:tr>
      <w:tr>
        <w:trPr>
          <w:trHeight w:val="20"/>
        </w:trPr>
        <w:tc>
          <w:tcPr>
            <w:tcW w:w="5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Exercisable at: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369,593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32.16</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356,519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36.83</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7,107</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41.39</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17,760</w:t>
            </w:r>
          </w:p>
        </w:tc>
      </w:tr>
      <w:tr>
        <w:trPr>
          <w:trHeight w:val="216"/>
        </w:trPr>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to vest at: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490,382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41.59</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47.78</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369,455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67.05</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10,400</w:t>
            </w:r>
          </w:p>
        </w:tc>
      </w:tr>
    </w:tbl>
    <w:p>
      <w:pPr>
        <w:spacing w:after="0" w:line="1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Cash received from stock options exercised during the years ended December 31, 2024, 2023, and 2022, was $6.4 million, $6.2 million, and $3.5 million, respectively.</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Performance-based Restricted Stock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bases the fair value of RSU awards with time-based vesting on the intrinsic value of the awards at the date of grant.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issues PSUs, which are RSU awards with vesting based on performance conditions. PSUs awarded vest based on our achievement of operating income relative to the Company’s target operating income. The Company bases the fair values of PSUs on the intrinsic values of the awards at the date of grant.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RSU activity (excluding PSUs) as of December 31, 2024, and for the three years then ended is presented below:</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42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642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6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2021</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133,831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38.26</w:t>
            </w:r>
          </w:p>
        </w:tc>
      </w:t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47.11</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35.75</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40.79</w:t>
            </w:r>
          </w:p>
        </w:tc>
      </w:tr>
      <w:tr>
        <w:trPr>
          <w:trHeight w:val="210"/>
        </w:trPr>
        <w:tc>
          <w:tcPr>
            <w:tcW w:w="64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2022</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42.38</w:t>
            </w:r>
          </w:p>
        </w:tc>
      </w:tr>
      <w:tr>
        <w:trPr>
          <w:trHeight w:val="197"/>
        </w:trPr>
        <w:tc>
          <w:tcPr>
            <w:tcW w:w="642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54.68</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39.31</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42.89</w:t>
            </w:r>
          </w:p>
        </w:tc>
      </w:tr>
      <w:tr>
        <w:trPr>
          <w:trHeight w:val="210"/>
        </w:trPr>
        <w:tc>
          <w:tcPr>
            <w:tcW w:w="64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2023</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125,994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48.20</w:t>
            </w:r>
          </w:p>
        </w:tc>
      </w:tr>
      <w:tr>
        <w:trPr>
          <w:trHeight w:val="196"/>
        </w:trPr>
        <w:tc>
          <w:tcPr>
            <w:tcW w:w="642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100.37</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46.49</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49.51</w:t>
            </w:r>
          </w:p>
        </w:tc>
      </w:tr>
      <w:tr>
        <w:trPr>
          <w:trHeight w:val="209"/>
        </w:trPr>
        <w:tc>
          <w:tcPr>
            <w:tcW w:w="64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2024</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65.28</w:t>
            </w: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number of RSUs vested includes the shares that the Company withheld on behalf of employees to satisfy minimum statutory tax withholding requirements. The fair values of the RSUs that vested during 2024, 2023, and 2022 were $4.9 million, $2.7 million, and $2.1 million, respectively.</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in order to cover any minimum tax withholding liability associated with RSU vestings. A summary of such repurchases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repurchased for net settlement of equity</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17,272</w:t>
            </w:r>
          </w:p>
        </w:tc>
        <w:tc>
          <w:tcPr>
            <w:tcW w:w="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15,917</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13,690</w:t>
            </w:r>
          </w:p>
        </w:tc>
        <w:tc>
          <w:tcPr>
            <w:tcW w:w="8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Average per share repurchase price</w:t>
            </w:r>
          </w:p>
        </w:tc>
        <w:tc>
          <w:tcPr>
            <w:tcW w:w="11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91.25</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46.90</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purchase price (in thousands)</w:t>
            </w:r>
          </w:p>
        </w:tc>
        <w:tc>
          <w:tcPr>
            <w:tcW w:w="11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82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PSU activity as of December 31, 2024, and for the three years then ended is presented below:</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42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642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64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2021</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48.60</w:t>
            </w:r>
          </w:p>
        </w:tc>
      </w:t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47.13</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48.53</w:t>
            </w:r>
          </w:p>
        </w:tc>
      </w:tr>
      <w:tr>
        <w:trPr>
          <w:trHeight w:val="210"/>
        </w:trPr>
        <w:tc>
          <w:tcPr>
            <w:tcW w:w="64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2022</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47.19</w:t>
            </w:r>
          </w:p>
        </w:tc>
      </w:tr>
      <w:tr>
        <w:trPr>
          <w:trHeight w:val="197"/>
        </w:trPr>
        <w:tc>
          <w:tcPr>
            <w:tcW w:w="642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54.65</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47.19</w:t>
            </w:r>
          </w:p>
        </w:tc>
      </w:tr>
      <w:tr>
        <w:trPr>
          <w:trHeight w:val="210"/>
        </w:trPr>
        <w:tc>
          <w:tcPr>
            <w:tcW w:w="64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2023</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54,164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50.85</w:t>
            </w:r>
          </w:p>
        </w:tc>
      </w:tr>
      <w:tr>
        <w:trPr>
          <w:trHeight w:val="196"/>
        </w:trPr>
        <w:tc>
          <w:tcPr>
            <w:tcW w:w="642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100.79</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47.23</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52.54</w:t>
            </w:r>
          </w:p>
        </w:tc>
      </w:tr>
      <w:tr>
        <w:trPr>
          <w:trHeight w:val="209"/>
        </w:trPr>
        <w:tc>
          <w:tcPr>
            <w:tcW w:w="64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2024</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59,930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69.15</w:t>
            </w: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number of PSUs vested includes the shares that the Company withheld on behalf of employees to satisfy minimum statutory tax withholding requirements. The fair values of the PSUs that vested during 2024 were $1.2 million.</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in order to cover any minimum tax withholding liability associated with PSU vestings. There were no repurchases of PSUs prior to 2024. A summary of such repurchases in 2024 is as follows: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7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 for net settlement of equity awards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per share repurchase price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 (in thousands)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stock-based compensation expense included in the consolidated statements of operations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awards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2,487</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1,951</w:t>
            </w:r>
          </w:p>
        </w:tc>
        <w:tc>
          <w:tcPr>
            <w:tcW w:w="4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w:t>
            </w:r>
          </w:p>
        </w:tc>
        <w:tc>
          <w:tcPr>
            <w:tcW w:w="3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Pr>
          <w:p>
            <w:pPr>
              <w:spacing w:after="0"/>
              <w:rPr>
                <w:sz w:val="18"/>
                <w:szCs w:val="18"/>
                <w:color w:val="auto"/>
              </w:rPr>
            </w:pPr>
          </w:p>
        </w:tc>
      </w:tr>
      <w:tr>
        <w:trPr>
          <w:trHeight w:val="256"/>
        </w:trPr>
        <w:tc>
          <w:tcPr>
            <w:tcW w:w="820" w:type="dxa"/>
            <w:vAlign w:val="bottom"/>
          </w:tcPr>
          <w:p>
            <w:pPr>
              <w:spacing w:after="0"/>
              <w:rPr>
                <w:sz w:val="22"/>
                <w:szCs w:val="22"/>
                <w:color w:val="auto"/>
              </w:rPr>
            </w:pPr>
          </w:p>
        </w:tc>
        <w:tc>
          <w:tcPr>
            <w:tcW w:w="42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5,319</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4,173</w:t>
            </w:r>
          </w:p>
        </w:tc>
        <w:tc>
          <w:tcPr>
            <w:tcW w:w="320" w:type="dxa"/>
            <w:vAlign w:val="bottom"/>
          </w:tcPr>
          <w:p>
            <w:pPr>
              <w:spacing w:after="0"/>
              <w:rPr>
                <w:sz w:val="22"/>
                <w:szCs w:val="22"/>
                <w:color w:val="auto"/>
              </w:rPr>
            </w:pPr>
          </w:p>
        </w:tc>
      </w:tr>
      <w:tr>
        <w:trPr>
          <w:trHeight w:val="413"/>
        </w:trPr>
        <w:tc>
          <w:tcPr>
            <w:tcW w:w="82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82</w:t>
            </w: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is included in our statements of operations as follows:</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r>
      <w:tr>
        <w:trPr>
          <w:trHeight w:val="209"/>
        </w:trPr>
        <w:tc>
          <w:tcPr>
            <w:tcW w:w="4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4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3,143</w:t>
            </w: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4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r>
      <w:tr>
        <w:trPr>
          <w:trHeight w:val="209"/>
        </w:trPr>
        <w:tc>
          <w:tcPr>
            <w:tcW w:w="4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5,319</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4,173</w:t>
            </w:r>
          </w:p>
        </w:tc>
      </w:tr>
      <w:tr>
        <w:trPr>
          <w:trHeight w:val="20"/>
        </w:trPr>
        <w:tc>
          <w:tcPr>
            <w:tcW w:w="4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to record the unamortized portion of share-based compensation expense of $18.3 million for existing stock options, RSUs, and PSUs outstanding as of December 31, 2024, over a weighted-average period of 2.0 years.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On February 18, 2025, the Company’s board of directors authorized the repurchase of up to $75.0 million of the Company’s common stock through transactions on the open market, in privately negotiated purchases or otherwise until February 17, 2026. The repurchase program may be suspended or discontinued at any time. To date the Company has not made any repurchases under this program.</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February 2011, the Company’s board of directors approved a policy for the payment of quarterly cash dividends on its common stock. Future declarations of quarterly dividends and the establishment of future record and payment dates are subject to approval by the board of directors on a quarterly basis. The dividend activity for the periods presented is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94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8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 Share 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Dividend Payment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95"/>
              </w:rPr>
              <w:t>Fiscal Year 2024</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2024</w:t>
            </w:r>
          </w:p>
        </w:tc>
        <w:tc>
          <w:tcPr>
            <w:tcW w:w="1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28, 2024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16, 2024</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30, 2024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2024</w:t>
            </w:r>
          </w:p>
        </w:tc>
        <w:tc>
          <w:tcPr>
            <w:tcW w:w="1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29, 2024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21, 2024</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5, 2024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95"/>
              </w:rPr>
              <w:t>Fiscal Year 2023</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9, 2023</w:t>
            </w:r>
          </w:p>
        </w:tc>
        <w:tc>
          <w:tcPr>
            <w:tcW w:w="1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23, 2023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17, 2023</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 2023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2023</w:t>
            </w:r>
          </w:p>
        </w:tc>
        <w:tc>
          <w:tcPr>
            <w:tcW w:w="1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31, 2023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16, 2023</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30, 2023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February 18, 2025, the Company’s board of directors approved a quarterly cash dividend on its common stock of $0.20 per share payable on March 27, 2025, to stockholders of record at the close of business on March 13, 2025, which will total approximately $4.5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Profit-Sharing Plan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offers a 401(k) profit-sharing plan (the “401(k) Plan”) covering eligible U.S. employees to make tax-deferred contributions, a portion of which are matched by the Company. The Company may also make discretionary profit sharing contributions to the 401(k) Plan in an amount determined by its board of directors. The Company’s contributions vest ratably over six years of employment and amounted to approximately $0.8 million, $0.8 million, and $0.6 million for 2024, 2023, and 2022,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Geographic Information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segment financial information and the approach used by the chief operating decision maker (“CODM”), the Chief Executive Officer, to evaluate performance and allocate resources. The Company considers the business to be a single operating segment engaged in the development, manufacturing, and marketing of medical devices and implants, as well as the processing and cryopreservation of human tissues for implantation in patients, all used primarily in the field of vascular surgery.</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CODM assesses performance for its single operating segment and decides how to allocate resources based on net income that also is reported on the consolidated statements of operations. The measure of segment assets is reported on the consolidated balance sheets as total consolidated assets. The accounting policies of the segment are the same as those described in Significant Accounting Policies and Related Matters (see Note 1).</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single operating segment or into other parts of the entity, such as for acquisitions, dividend payments, and/or short-term marketable security investments. Net income is also used to monitor budget versus actual results, which is used in assessing performance of the segment and in establishing management’s compensation.</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addition to total segment net income, the CODM’s quarterly reporting package includes several highlighted expense categories that the CODM considers key strategic drivers of the Company’s long-term profitability. The following is the Company’s operating segment reconciliation of net income, including significant segment expenses:</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28"/>
        </w:trPr>
        <w:tc>
          <w:tcPr>
            <w:tcW w:w="5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219,863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193,484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161,651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56,755</w:t>
            </w:r>
          </w:p>
        </w:tc>
      </w:tr>
      <w:tr>
        <w:trPr>
          <w:trHeight w:val="20"/>
        </w:trPr>
        <w:tc>
          <w:tcPr>
            <w:tcW w:w="5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150,901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104,896</w:t>
            </w:r>
          </w:p>
        </w:tc>
      </w:tr>
      <w:tr>
        <w:trPr>
          <w:trHeight w:val="216"/>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37,166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29,420</w:t>
            </w:r>
          </w:p>
        </w:tc>
      </w:tr>
      <w:tr>
        <w:trPr>
          <w:trHeight w:val="216"/>
        </w:trPr>
        <w:tc>
          <w:tcPr>
            <w:tcW w:w="5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Marketing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3,501</w:t>
            </w:r>
          </w:p>
        </w:tc>
      </w:tr>
      <w:tr>
        <w:trPr>
          <w:trHeight w:val="216"/>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21,563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19,285</w:t>
            </w:r>
          </w:p>
        </w:tc>
      </w:tr>
      <w:tr>
        <w:trPr>
          <w:trHeight w:val="216"/>
        </w:trPr>
        <w:tc>
          <w:tcPr>
            <w:tcW w:w="5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8,227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7,691</w:t>
            </w:r>
          </w:p>
        </w:tc>
      </w:tr>
      <w:tr>
        <w:trPr>
          <w:trHeight w:val="216"/>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information systems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w:t>
            </w:r>
          </w:p>
        </w:tc>
      </w:tr>
      <w:tr>
        <w:trPr>
          <w:trHeight w:val="216"/>
        </w:trPr>
        <w:tc>
          <w:tcPr>
            <w:tcW w:w="5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Process engineering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r>
      <w:tr>
        <w:trPr>
          <w:trHeight w:val="216"/>
        </w:trPr>
        <w:tc>
          <w:tcPr>
            <w:tcW w:w="5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Regulatory and clinical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10,596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8,348</w:t>
            </w:r>
          </w:p>
        </w:tc>
      </w:tr>
      <w:tr>
        <w:trPr>
          <w:trHeight w:val="216"/>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3,107</w:t>
            </w:r>
          </w:p>
        </w:tc>
      </w:tr>
      <w:tr>
        <w:trPr>
          <w:trHeight w:val="216"/>
        </w:trPr>
        <w:tc>
          <w:tcPr>
            <w:tcW w:w="5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6,193</w:t>
            </w:r>
          </w:p>
        </w:tc>
      </w:tr>
      <w:tr>
        <w:trPr>
          <w:trHeight w:val="20"/>
        </w:trPr>
        <w:tc>
          <w:tcPr>
            <w:tcW w:w="50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30,105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20,636</w:t>
            </w: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the consolidated statements of operations for a listing of other income and expense.</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Most of the Company’s revenues are generated in the United States, Germany, the United Kingdom, other European countries, and Canada. Substantially all of the Company’s assets are located in the United States and Germany. Net sales to unaffiliated customers based on customer location by country were as follows: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28"/>
        </w:trPr>
        <w:tc>
          <w:tcPr>
            <w:tcW w:w="3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128,743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117,811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99,463</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14,420</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13,420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11,223</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13,669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10,786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10,960</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5,841</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52,071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42,906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36,788</w:t>
            </w:r>
          </w:p>
        </w:tc>
      </w:tr>
      <w:tr>
        <w:trPr>
          <w:trHeight w:val="209"/>
        </w:trPr>
        <w:tc>
          <w:tcPr>
            <w:tcW w:w="39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219,863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193,484</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161,651</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80"/>
          </w:cols>
          <w:pgMar w:left="320" w:top="121" w:right="399" w:bottom="1440" w:gutter="0" w:footer="0" w:header="0"/>
        </w:sect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assets by country, including property and equipment, net and right-of-use leased assets were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28"/>
        </w:trPr>
        <w:tc>
          <w:tcPr>
            <w:tcW w:w="3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34,729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29,042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2,462</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3,114</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w:t>
            </w:r>
          </w:p>
        </w:tc>
      </w:tr>
      <w:tr>
        <w:trPr>
          <w:trHeight w:val="209"/>
        </w:trPr>
        <w:tc>
          <w:tcPr>
            <w:tcW w:w="39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assets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39,781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33,535</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fair value accounting guidance requires that assets and liabilities carried at fair value be classified and disclosed in one of the following three categories:</w:t>
      </w:r>
    </w:p>
    <w:p>
      <w:pPr>
        <w:spacing w:after="0" w:line="162" w:lineRule="exact"/>
        <w:rPr>
          <w:sz w:val="20"/>
          <w:szCs w:val="20"/>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52" w:lineRule="exact"/>
        <w:rPr>
          <w:rFonts w:ascii="Times New Roman" w:cs="Times New Roman" w:eastAsia="Times New Roman" w:hAnsi="Times New Roman"/>
          <w:sz w:val="18"/>
          <w:szCs w:val="18"/>
          <w:color w:val="auto"/>
        </w:rPr>
      </w:pPr>
    </w:p>
    <w:p>
      <w:pPr>
        <w:ind w:left="980" w:right="80" w:hanging="486"/>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980" w:right="40" w:hanging="486"/>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Level 1 assets being measured at fair value on a recurring basis as of December 31, 2024, included the Company’s short-term marketable securities, which consist of a U.S. government money market fund and a short-duration bond fund.</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uses Level 2 fair value measurements for its Convertible Notes, which are carried at the face value less unamortized debt discount and issuance costs on the consolidated balance sheets. The fair value of the Convertible Notes is presented at each reporting period for disclosure purposes only (see Note 6).</w:t>
      </w:r>
    </w:p>
    <w:p>
      <w:pPr>
        <w:spacing w:after="0" w:line="176"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Several of the Company’s acquisition-related assets and liabilities have been measured using Level 3 techniques. During 2020 the Company recorded a contingent liability associated with its acquisition of the bovine carotid graft business from Artegraft. The agreement required the Company to make potential additional payments to Artegraft of up to $17.5 million, depending on the achievement of certain unit sales milestones during the first three calendar years following the acquisition through December 31, 2023. The Company recorded this liability at a fair value of $0.4 million in 2020 to reflect management’s estimate of the likelihood of achieving these targets at the time of the closing, as well as the time value of money until payment. The Company was remeasuring this amount each quarter during the earn-out period, with any adjustments recorded in income from operations. As of December 31, 2023, there were no unit sales milestones achieved during the earn-out period, and therefore the Company reduced the remaining liability to zero.</w:t>
      </w:r>
    </w:p>
    <w:p>
      <w:pPr>
        <w:spacing w:after="0" w:line="17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During 2019, the Company recorded contingent liabilities associated with its acquisition of the Anteris biologic patch business. The agreement includes the potential for the Company to pay up to $7.8 million of additional consideration beyond payments made to date, with $0.3 million contingent upon the delivery of audited financial statements of the acquired business to the Company; $2.0 million (the “CE Mark Contingency”) contingent on the Company’s success in obtaining CE marks under the European Medical Device Regulation (2017/745) (“MDR”) on the acquired products; $0.5 million contingent upon Anteris’ success in extending the shelf life of the acquired products as specified in the agreement; and another $5.0 million contingent on the achievement of specified levels of revenues in the first 12 and 24 months following the acquisition date. The Company initially valued this additional contingent consideration in total at $2.3 million. The Company is remeasuring this valuation each quarter until the payment requirement ends, with any adjustments reported in income from operations. The Company paid the contingent payment related to the delivery of audited financial statements of the business in November 2019 upon satisfaction of the deliverable. The contingent payments related to Anteris’ extending the shelf life of the acquired products and achieving the revenue targets during the first 12- and 24- month periods following the acquisition were not met, and the Company adjusted the portion of the liabilities related to these items through income from operations. The agreement was amended in August 2021 such that the CE Mark Contingency amount may be reduced for certain costs incurred by the Company in achieving the CE marks.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2023, the Company and Anteris amended the agreement in order to (i) place a cap on the total amount of costs incurred by the Company in achieving the CE marks under MDR regulations that could be used as a deduction toward the $2.0 million holdback, and (ii) require a prorata payment to Anteris of the CE Mark Contingency, less costs described above, by January 2025 if the CE marks are not obtained by that date.</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January 2025, the Company received the MDR CE mark approval of CardioCel and VascuCel which allows the Company to distribute their Burlington manufactured products to EU markets. As of December 31, 2024, the fair value of the CE Mark Contingency reflects the total holdback due to Anteris of $1.4 million. The payment to Anteris will be made in the first quarter of 2025.</w:t>
      </w:r>
    </w:p>
    <w:p>
      <w:pPr>
        <w:spacing w:after="0" w:line="176"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provides a roll-forward of the fair value of these liabilities, as determined by Level 3 unobservable inputs including management’s forecast of future revenues for the acquired businesses, as well as, management’s estimates of the likelihood of achieving the other specified criteria: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1"/>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included in earnings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11"/>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(6,031)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2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4"/>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(6,184)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(4,625)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firstLine="324"/>
        <w:spacing w:after="0" w:line="282" w:lineRule="auto"/>
        <w:rPr>
          <w:sz w:val="20"/>
          <w:szCs w:val="20"/>
          <w:color w:val="auto"/>
        </w:rPr>
      </w:pPr>
      <w:r>
        <w:rPr>
          <w:rFonts w:ascii="Times New Roman" w:cs="Times New Roman" w:eastAsia="Times New Roman" w:hAnsi="Times New Roman"/>
          <w:sz w:val="18"/>
          <w:szCs w:val="18"/>
          <w:color w:val="auto"/>
        </w:rPr>
        <w:t>Changes to the Company’s accumulated other comprehensive loss consisted primarily of foreign currency translation and unrealized losses on short-term marketable securities for the years ended December 31, 2024, 2023, and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86" w:name="page87"/>
    <w:bookmarkEnd w:id="86"/>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PROCEDURES</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I.</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generally illegal for any director, officer or employee of LeMaitre Vascular, Inc. or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or any consultant to the Company, to trade in the securities of the Company while in the possession of material, nonpublic information about the Company. It is also generally illegal for any director, officer or employee of or consultant to the Company to disclose material, nonpublic information about the Company to others who may trade on the basis of that information. In order to comply with federal and state securities laws governing insider trading, the Company has adopted an insider trading policy which consists of: (i) a </w:t>
      </w:r>
      <w:r>
        <w:rPr>
          <w:rFonts w:ascii="Times New Roman" w:cs="Times New Roman" w:eastAsia="Times New Roman" w:hAnsi="Times New Roman"/>
          <w:sz w:val="18"/>
          <w:szCs w:val="18"/>
          <w:u w:val="single" w:color="auto"/>
          <w:color w:val="auto"/>
        </w:rPr>
        <w:t>Statement of Company Policy on Insider Trading and Disclosure</w:t>
      </w:r>
      <w:r>
        <w:rPr>
          <w:rFonts w:ascii="Times New Roman" w:cs="Times New Roman" w:eastAsia="Times New Roman" w:hAnsi="Times New Roman"/>
          <w:sz w:val="18"/>
          <w:szCs w:val="18"/>
          <w:color w:val="auto"/>
        </w:rPr>
        <w:t xml:space="preserve"> (the “Insider Trading Statement”) distributed to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directors, officers and employees of and consultants to the Company and consultants to the Company, and (ii) these </w:t>
      </w:r>
      <w:r>
        <w:rPr>
          <w:rFonts w:ascii="Times New Roman" w:cs="Times New Roman" w:eastAsia="Times New Roman" w:hAnsi="Times New Roman"/>
          <w:sz w:val="18"/>
          <w:szCs w:val="18"/>
          <w:u w:val="single" w:color="auto"/>
          <w:color w:val="auto"/>
        </w:rPr>
        <w:t>Insider Trading Procedures</w:t>
      </w:r>
      <w:r>
        <w:rPr>
          <w:rFonts w:ascii="Times New Roman" w:cs="Times New Roman" w:eastAsia="Times New Roman" w:hAnsi="Times New Roman"/>
          <w:sz w:val="18"/>
          <w:szCs w:val="18"/>
          <w:color w:val="auto"/>
        </w:rPr>
        <w:t xml:space="preserve"> (the “Insider Trading Procedures”) governing securities trading by directors, officers, employees and consultants who in the ordinary course of the performance of their duties have access to material, nonpublic information regarding the Company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II.</w:t>
      </w:r>
      <w:r>
        <w:rPr>
          <w:sz w:val="20"/>
          <w:szCs w:val="20"/>
          <w:color w:val="auto"/>
        </w:rPr>
        <w:tab/>
      </w:r>
      <w:r>
        <w:rPr>
          <w:rFonts w:ascii="Times New Roman" w:cs="Times New Roman" w:eastAsia="Times New Roman" w:hAnsi="Times New Roman"/>
          <w:sz w:val="17"/>
          <w:szCs w:val="17"/>
          <w:b w:val="1"/>
          <w:bCs w:val="1"/>
          <w:color w:val="auto"/>
        </w:rPr>
        <w:t>SCOPE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Insider Trading Procedures regulate securities trades by: (i) Insiders; (ii) an Insider’s spouse, child, parent, sibling or other family member living in the same household; (iii) all persons who execute trades on behalf of Insiders; and (iv) investment funds, trusts, retirement plans, partnerships, corporations and other types of entities over which Insiders have the ability to influence or direct investment decisions concerning securities (the persons and entities covered by clauses (ii) through (iv) above are hereinafter referred to as “Affiliated Persons”). Insiders are responsible for ensuring compliance with these Insider Trading Procedures and the Insider Trading Statement by all of their Affiliated Persons. Unless the context otherwise requires, references to “Insiders” in these Insider Trading Procedures refer collectively to Insiders and their Affiliated Persons.</w:t>
      </w:r>
    </w:p>
    <w:p>
      <w:pPr>
        <w:spacing w:after="0" w:line="187"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These Insider Trading Procedures apply to any and all transactions in the Company’s securities, including its common stock, options to purchase common stock (as described in more detail in Section VI.F.), and any other type of securities that the Company may issue, such as preferred stock, convertible debentures, warrants and exchange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traded options or other derivative securities.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Insider Trading Statement, these Insider Trading Procedures will be delivered to all Insiders upon their adoption by the Board of Directors and to all new Insiders at the start of their employment or relationship with the Company. Upon first receiving a copy of these Insider Trading Procedures, each Insider must sign an acknowledgment that he or she has received a copy and agrees to comply with the terms of these Insider Trading Procedures and the Insider Trading Statement. Such Insider shall return the acknowledgment attached hereto within ten (10) days of receipt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Department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 Second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both"/>
        <w:spacing w:after="0" w:line="254" w:lineRule="auto"/>
        <w:rPr>
          <w:sz w:val="20"/>
          <w:szCs w:val="20"/>
          <w:color w:val="auto"/>
        </w:rPr>
      </w:pPr>
      <w:r>
        <w:rPr>
          <w:rFonts w:ascii="Times New Roman" w:cs="Times New Roman" w:eastAsia="Times New Roman" w:hAnsi="Times New Roman"/>
          <w:sz w:val="18"/>
          <w:szCs w:val="18"/>
          <w:color w:val="auto"/>
        </w:rPr>
        <w:t>This acknowledgment will constitute consent for the Company to impose sanctions for violation of its insider trading policy and to issue any necessary stop-transfer orders to the Company’s transfer agent to ensure compliance with these Insider Trading Procedures and the Insider Trading Statement. As discussed in Section VII.B., sanctions for individuals employed by the Company also may include demotion or other disciplinary actions, including termination of employment or consultancy, as applicable, if the Company believes these Insider Trading Procedures or the Insider Trading Statement has been violated. Insiders will be required upon the Company’s request to re-acknowledge and agree to comply with these Insider Trading Procedures and the Insider Trading Statement. For such purpose, an Insider will be deemed to have acknowledged and agreed to comply with these Insider Trading Procedures and the Insider Trading Statement when copies of such items have been delivered to the Insider by regular or electronic mail (or other delivery option used by the Company) by the Compliance Officer (as defined in Section V) or his or her designee unless the Insider objects in a written statement received by the Compliance Officer within two (2) business days of such delivery.</w:t>
      </w:r>
    </w:p>
    <w:p>
      <w:pPr>
        <w:spacing w:after="0" w:line="40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III.</w:t>
        <w:tab/>
        <w:t>INSIDERS AND INSIDER TRADING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Persons who in the ordinary course of performing their duties have access to material, nonpublic information regarding the Company, including, without limitation, the directors, officers and certain employees of the Company or any of its subsidiaries, are deemed to be Insiders. All Insiders must obtain prior approval of all of their trades in Company securities from the Compliance Officer in accordance with the procedures set forth in Section VI.D.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the Insider Trading Statement for a discussion of what constitutes “insider trading” as well as “material” and “nonpublic”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Insiders who are unsure whether the information that they possess is material or nonpublic should consult the Compliance Officer for guidance.</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Remember: Insiders must obtain prior approval of all trades in Company securities from the Compliance Officer in accordance with the procedures set forth in Section VI.D. even if they are not aware of any material, nonpublic information.</w:t>
      </w:r>
    </w:p>
    <w:p>
      <w:pPr>
        <w:spacing w:after="0" w:line="3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IV.</w:t>
      </w:r>
      <w:r>
        <w:rPr>
          <w:sz w:val="20"/>
          <w:szCs w:val="20"/>
          <w:color w:val="auto"/>
        </w:rPr>
        <w:tab/>
      </w:r>
      <w:r>
        <w:rPr>
          <w:rFonts w:ascii="Times New Roman" w:cs="Times New Roman" w:eastAsia="Times New Roman" w:hAnsi="Times New Roman"/>
          <w:sz w:val="17"/>
          <w:szCs w:val="17"/>
          <w:b w:val="1"/>
          <w:bCs w:val="1"/>
          <w:color w:val="auto"/>
        </w:rPr>
        <w:t>COMPLIANCE WITH THE INSIDER TRADING STATEMENT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 Insider may trade in any type of securities of the Company if such Insider is in possession of material, nonpublic information about the Company unless the trade has been effected in compliance with a pre-approved Rule 10b5-1 Plan. This prohibition applies even if such Insider receives pre-clearance and the transaction would occur during a trading window.</w:t>
      </w: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V.</w:t>
        <w:tab/>
        <w:t>INSIDER TRADING COMPLIANCE OFFICER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the senior member of the Legal Department as its insider trading compliance officer (the “Compliance Officer”). The Compliance Officer will review and either approve or prohibit all proposed trades by Insiders in accordance with the procedures set forth in Section VI.D. The Compliance Officer may, from time to time, notify the Insiders that the “trading window” (as described in Section VI.C.) is closed because of the existence of material, nonpublic information. The Compliance Officer may consult with the Company’s other officers and/or outside legal counsel and will receive approval for his own trades from the Chief Executive Officer.</w:t>
      </w: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VI.</w:t>
      </w:r>
      <w:r>
        <w:rPr>
          <w:sz w:val="20"/>
          <w:szCs w:val="20"/>
          <w:color w:val="auto"/>
        </w:rPr>
        <w:tab/>
      </w:r>
      <w:r>
        <w:rPr>
          <w:rFonts w:ascii="Times New Roman" w:cs="Times New Roman" w:eastAsia="Times New Roman" w:hAnsi="Times New Roman"/>
          <w:sz w:val="17"/>
          <w:szCs w:val="17"/>
          <w:b w:val="1"/>
          <w:bCs w:val="1"/>
          <w:color w:val="auto"/>
        </w:rPr>
        <w:t>SPECIAL TRADING RESTRICTIONS AND PROCEDURES</w:t>
      </w:r>
    </w:p>
    <w:p>
      <w:pPr>
        <w:spacing w:after="0" w:line="225" w:lineRule="exact"/>
        <w:rPr>
          <w:sz w:val="20"/>
          <w:szCs w:val="20"/>
          <w:color w:val="auto"/>
        </w:rPr>
      </w:pPr>
    </w:p>
    <w:p>
      <w:pPr>
        <w:ind w:left="1140" w:hanging="484"/>
        <w:spacing w:after="0"/>
        <w:tabs>
          <w:tab w:leader="none" w:pos="11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PROHIBITED ACTIVITIES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see the Insider Trading Statement for a description of prohibited activities applicable to all directors, officers and employees of the Company, including Insiders. For a discussion of special trading restrictions applicable only to Insiders, please see Section VI.B. immediately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ind w:left="1140" w:hanging="484"/>
        <w:spacing w:after="0"/>
        <w:tabs>
          <w:tab w:leader="none" w:pos="11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SPECIAL TRADING RESTRICTIONS APPLICABLE TO INSIDERS</w:t>
      </w:r>
    </w:p>
    <w:p>
      <w:pPr>
        <w:spacing w:after="0" w:line="252" w:lineRule="exact"/>
        <w:rPr>
          <w:sz w:val="20"/>
          <w:szCs w:val="20"/>
          <w:color w:val="auto"/>
        </w:rPr>
      </w:pPr>
    </w:p>
    <w:p>
      <w:pPr>
        <w:ind w:firstLine="656"/>
        <w:spacing w:after="0" w:line="286" w:lineRule="auto"/>
        <w:tabs>
          <w:tab w:leader="none" w:pos="13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Trading Except During Windows</w:t>
      </w:r>
      <w:r>
        <w:rPr>
          <w:rFonts w:ascii="Times New Roman" w:cs="Times New Roman" w:eastAsia="Times New Roman" w:hAnsi="Times New Roman"/>
          <w:sz w:val="18"/>
          <w:szCs w:val="18"/>
          <w:color w:val="auto"/>
        </w:rPr>
        <w:t>. No Insider may trade in Company securities outside of the applicable “trading windows”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in Section VI.C. except as specifically permitted hereafter.</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2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Trading During Retirement Plan Blackout Periods</w:t>
      </w:r>
      <w:r>
        <w:rPr>
          <w:rFonts w:ascii="Times New Roman" w:cs="Times New Roman" w:eastAsia="Times New Roman" w:hAnsi="Times New Roman"/>
          <w:sz w:val="18"/>
          <w:szCs w:val="18"/>
          <w:color w:val="auto"/>
        </w:rPr>
        <w:t>. If and for so long as the Company permits its securities to be held in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plans, no Insider may trade in any Company securities, which were acquired in connection with such Insider’s service or employment with the Company, during a retirement plan “blackout period” except as specifically permitted hereafter. A blackout period includes any period of more than three</w:t>
      </w:r>
    </w:p>
    <w:p>
      <w:pPr>
        <w:jc w:val="both"/>
        <w:ind w:firstLine="8"/>
        <w:spacing w:after="0" w:line="255" w:lineRule="auto"/>
        <w:tabs>
          <w:tab w:leader="none" w:pos="2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business days during which at least fifty percent (50%) of all participants and beneficiaries under all of the individual account plans maintained by the Company and members of its controlled group are prohibited from trading in Company securities through their plan accounts. Insiders will receive advanced notice of any such blackout period from the Compliance Officer or his or her designee.</w:t>
      </w:r>
    </w:p>
    <w:p>
      <w:pPr>
        <w:spacing w:after="0" w:line="181" w:lineRule="exact"/>
        <w:rPr>
          <w:rFonts w:ascii="Times New Roman" w:cs="Times New Roman" w:eastAsia="Times New Roman" w:hAnsi="Times New Roman"/>
          <w:sz w:val="18"/>
          <w:szCs w:val="18"/>
          <w:color w:val="auto"/>
        </w:rPr>
      </w:pPr>
    </w:p>
    <w:p>
      <w:pPr>
        <w:ind w:firstLine="656"/>
        <w:spacing w:after="0" w:line="286" w:lineRule="auto"/>
        <w:tabs>
          <w:tab w:leader="none" w:pos="13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All Trades Must be Pre-cleared by the Compliance Officer</w:t>
      </w:r>
      <w:r>
        <w:rPr>
          <w:rFonts w:ascii="Times New Roman" w:cs="Times New Roman" w:eastAsia="Times New Roman" w:hAnsi="Times New Roman"/>
          <w:sz w:val="18"/>
          <w:szCs w:val="18"/>
          <w:color w:val="auto"/>
        </w:rPr>
        <w:t>. No Insider may trade in Company securities unless the trade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by the Compliance Officer in accordance with the procedures set forth in Section VI.D.</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1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Short Sales or Purchases or Sales of Derivative Securities</w:t>
      </w:r>
      <w:r>
        <w:rPr>
          <w:rFonts w:ascii="Times New Roman" w:cs="Times New Roman" w:eastAsia="Times New Roman" w:hAnsi="Times New Roman"/>
          <w:sz w:val="18"/>
          <w:szCs w:val="18"/>
          <w:color w:val="auto"/>
        </w:rPr>
        <w:t>. No Insider may at any time sell any securities of the Company that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by such Insider at the time of the sale (a “short sale”). Also, no Insider may buy or sell puts, calls or other derivative securities of the Company at any time.</w:t>
      </w:r>
    </w:p>
    <w:p>
      <w:pPr>
        <w:spacing w:after="0" w:line="170"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Purchases on Margin</w:t>
      </w:r>
      <w:r>
        <w:rPr>
          <w:rFonts w:ascii="Times New Roman" w:cs="Times New Roman" w:eastAsia="Times New Roman" w:hAnsi="Times New Roman"/>
          <w:sz w:val="18"/>
          <w:szCs w:val="18"/>
          <w:color w:val="auto"/>
        </w:rPr>
        <w:t>. No Insider may hold Company securities in a margin account.</w:t>
      </w:r>
    </w:p>
    <w:p>
      <w:pPr>
        <w:spacing w:after="0" w:line="225" w:lineRule="exact"/>
        <w:rPr>
          <w:rFonts w:ascii="Times New Roman" w:cs="Times New Roman" w:eastAsia="Times New Roman" w:hAnsi="Times New Roman"/>
          <w:sz w:val="18"/>
          <w:szCs w:val="18"/>
          <w:color w:val="auto"/>
        </w:rPr>
      </w:pPr>
    </w:p>
    <w:p>
      <w:pPr>
        <w:jc w:val="both"/>
        <w:ind w:firstLine="656"/>
        <w:spacing w:after="0" w:line="262" w:lineRule="auto"/>
        <w:tabs>
          <w:tab w:leader="none" w:pos="114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Pledges</w:t>
      </w:r>
      <w:r>
        <w:rPr>
          <w:rFonts w:ascii="Times New Roman" w:cs="Times New Roman" w:eastAsia="Times New Roman" w:hAnsi="Times New Roman"/>
          <w:sz w:val="18"/>
          <w:szCs w:val="18"/>
          <w:color w:val="auto"/>
        </w:rPr>
        <w:t>. Insiders may pledge Company securities as collateral for a loan during quarterly trading windows provided, that the pledge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previously disclosed to the Corporate Governance Committee of the Board of Directors in writing at least one (1) week prior to the proposed execution of documents evidencing the proposed pledge. No Insider may pledge Company securities as collateral for a loan during a period when the Insider is not otherwise permitted to trade in accordance with these Insider Trading Procedures.</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11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Gifts Subject to Same Restrictions as All Other Securities Trades</w:t>
      </w:r>
      <w:r>
        <w:rPr>
          <w:rFonts w:ascii="Times New Roman" w:cs="Times New Roman" w:eastAsia="Times New Roman" w:hAnsi="Times New Roman"/>
          <w:sz w:val="18"/>
          <w:szCs w:val="18"/>
          <w:color w:val="auto"/>
        </w:rPr>
        <w:t>. No Insider may give or make any other transfer of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consideration (e.g., a gift) during a period when the Insider is not otherwise permitted to trade in accordance with these Insider Trading Procedures unless such transfer is (i) to a 501(c)(3) “charitable organization” and (ii) has been approved by the Compliance Officer. Any request for approval of such transfer by an Insider must be submitted to the Compliance Officer in writing at least ten (10) days prior to the proposed execution of documents evidencing the proposed transfer. Any such transfer request submitted by an Insider will be considered by the Compliance Officer on a case-by-case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jc w:val="both"/>
        <w:ind w:firstLine="656"/>
        <w:spacing w:after="0" w:line="227" w:lineRule="auto"/>
        <w:tabs>
          <w:tab w:leader="none" w:pos="12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Hedging or monetization transactions are typically accomplished through a number of possible mechanisms,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through the use of financial instruments such as prepaid variable forwards, equity swaps, collars and exchange funds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Such hedging transactions would allow an Insider to continue to own the Company’s securities obtained through employee benefit plans or otherwise, but without the full risks and rewards of ownership. When that occurs, an Insider may no longer have the same objectives as the Company’s other shareholders. </w:t>
      </w:r>
      <w:r>
        <w:rPr>
          <w:rFonts w:ascii="Times New Roman" w:cs="Times New Roman" w:eastAsia="Times New Roman" w:hAnsi="Times New Roman"/>
          <w:sz w:val="18"/>
          <w:szCs w:val="18"/>
          <w:i w:val="1"/>
          <w:iCs w:val="1"/>
          <w:color w:val="auto"/>
        </w:rPr>
        <w:t>As a result,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Insiders are prohibited from engaging in any hedging transactions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securities.</w:t>
      </w:r>
    </w:p>
    <w:p>
      <w:pPr>
        <w:spacing w:after="0" w:line="197" w:lineRule="exact"/>
        <w:rPr>
          <w:sz w:val="20"/>
          <w:szCs w:val="20"/>
          <w:color w:val="auto"/>
        </w:rPr>
      </w:pPr>
    </w:p>
    <w:p>
      <w:pPr>
        <w:ind w:left="1140" w:hanging="484"/>
        <w:spacing w:after="0"/>
        <w:tabs>
          <w:tab w:leader="none" w:pos="11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TRADING WINDOWS</w:t>
      </w:r>
    </w:p>
    <w:p>
      <w:pPr>
        <w:spacing w:after="0" w:line="25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There are times when the Company or certain members of its Board of Directors or senior management may be aware of a material, nonpublic development. Although an Insider may not know the specifics of such development, if an Insider engages in a trade before such development is disclosed to the public or resolved, such Insider and the Company might be exposed to a charge of insider trading that could be costly and difficult to refute. In addition, a trade by an Insider during such a period could result in adverse publicity for the Company. Therefore, subject to limited exceptions, Insiders may trade in Company securities only during four (4) quarterly trading windows and then only after obtaining pre-clearance from the Compliance Officer in accordance with the procedures set forth in Section VI.D. As a further limitation, Insiders may not trade in Company securities if they are notified by the Compliance Officer that the trading window is closed because of the existence of a material, nonpublic development. The Compliance Officer will subsequently notify the Insiders once the material, nonpublic development is disclosed to the public or resolved and that, as a result, the trading window is again open. While the Compliance Officer will undertake reasonable efforts to notify the Insiders that material, nonpublic events have developed, or are soon likely to develop, it is each Insider’s individual duty to ensure that they do not make any trade in Company securities when material, nonpublic information exists, regardless of whether such Insider is aware of such development. Unless otherwise advised, the four quarterly trading windows consist of the periods that begin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the Company’s issuance of a press release (or other method of broad public dissemination) announcing its quarterly or annual earnings and end on the beginning of the sixteenth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the last month of the then-current quarter. Insiders may be allowed to trade outside of a trading window in the following special circumstances:</w:t>
      </w:r>
    </w:p>
    <w:p>
      <w:pPr>
        <w:spacing w:after="0" w:line="207" w:lineRule="exact"/>
        <w:rPr>
          <w:sz w:val="20"/>
          <w:szCs w:val="20"/>
          <w:color w:val="auto"/>
        </w:rPr>
      </w:pPr>
    </w:p>
    <w:p>
      <w:pPr>
        <w:ind w:left="1160" w:hanging="504"/>
        <w:spacing w:after="0"/>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procedure for waivers described in Section IX; or</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pre-approved Rule 10b5-1 Plan as described in Section VI.E.</w:t>
      </w:r>
    </w:p>
    <w:p>
      <w:pPr>
        <w:spacing w:after="0" w:line="221" w:lineRule="exact"/>
        <w:rPr>
          <w:sz w:val="20"/>
          <w:szCs w:val="20"/>
          <w:color w:val="auto"/>
        </w:rPr>
      </w:pPr>
    </w:p>
    <w:p>
      <w:pPr>
        <w:ind w:left="1140" w:hanging="484"/>
        <w:spacing w:after="0"/>
        <w:tabs>
          <w:tab w:leader="none" w:pos="11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PRE-CLEARANCE PROCEDURES FOR APPROVING TRADES BY INSIDERS</w:t>
      </w:r>
    </w:p>
    <w:p>
      <w:pPr>
        <w:spacing w:after="0" w:line="252" w:lineRule="exact"/>
        <w:rPr>
          <w:sz w:val="20"/>
          <w:szCs w:val="20"/>
          <w:color w:val="auto"/>
        </w:rPr>
      </w:pPr>
    </w:p>
    <w:p>
      <w:pPr>
        <w:ind w:left="1160" w:hanging="504"/>
        <w:spacing w:after="0"/>
        <w:tabs>
          <w:tab w:leader="none" w:pos="1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No Insider may trade in Company securities until:</w:t>
      </w:r>
    </w:p>
    <w:p>
      <w:pPr>
        <w:spacing w:after="0" w:line="229" w:lineRule="exact"/>
        <w:rPr>
          <w:rFonts w:ascii="Times New Roman" w:cs="Times New Roman" w:eastAsia="Times New Roman" w:hAnsi="Times New Roman"/>
          <w:sz w:val="18"/>
          <w:szCs w:val="18"/>
          <w:color w:val="auto"/>
        </w:rPr>
      </w:pPr>
    </w:p>
    <w:p>
      <w:pPr>
        <w:jc w:val="both"/>
        <w:ind w:left="1460" w:hanging="318"/>
        <w:spacing w:after="0" w:line="230" w:lineRule="auto"/>
        <w:tabs>
          <w:tab w:leader="none" w:pos="14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notified the Compliance Officer of the amount and nature of the proposed trade(s) using the pre-clearance function on the E*TRADE website.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If you are selling stock that is not included in your E*TRADE account, initiate your pre-clearance request using the Stock Transaction Request form attached to these Insider Trading Procedures. In order to provide adequate time for the preparation of any required reports under Section 16 of the Securities Exchange Act of 1934, as amended (the “Exchange Act”), an E*TRADE request or Stock Transaction Request form should, if practicable, be received by the Compliance Officer at least two (2) business days prior to the intended trade date;</w:t>
      </w:r>
    </w:p>
    <w:p>
      <w:pPr>
        <w:spacing w:after="0" w:line="322"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fund, also known as a swap fund, is an arrangement between concentrated shareholders of different companies that pools shares and allows an investor to exchange his or her large holding of a single stock for units in the entire pool's portfolio.</w:t>
      </w:r>
    </w:p>
    <w:p>
      <w:pPr>
        <w:jc w:val="both"/>
        <w:ind w:left="340" w:hanging="332"/>
        <w:spacing w:after="0" w:line="255"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you log into your E*TRADE account, click on Stock Plan -&gt; Sell (or Stock Plan -&gt; Exercise for stock option exercises), and a pop-up will appear with a link to submit a pre-clearance request. Click the “here” link in order to open a pre-populated email, where you will fill out information regarding your intended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112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-1344295</wp:posOffset>
            </wp:positionV>
            <wp:extent cx="457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ind w:left="1460" w:hanging="318"/>
        <w:spacing w:after="0"/>
        <w:tabs>
          <w:tab w:leader="none" w:pos="14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certified to the Compliance Officer in writing prior to the proposed trade(s) that:</w:t>
      </w:r>
    </w:p>
    <w:p>
      <w:pPr>
        <w:spacing w:after="0" w:line="252"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is not in possession of material, nonpublic information concerning the Company; and</w:t>
      </w:r>
    </w:p>
    <w:p>
      <w:pPr>
        <w:spacing w:after="0" w:line="36" w:lineRule="exact"/>
        <w:rPr>
          <w:rFonts w:ascii="Times New Roman" w:cs="Times New Roman" w:eastAsia="Times New Roman" w:hAnsi="Times New Roman"/>
          <w:sz w:val="18"/>
          <w:szCs w:val="18"/>
          <w:color w:val="auto"/>
        </w:rPr>
      </w:pPr>
    </w:p>
    <w:p>
      <w:pPr>
        <w:ind w:left="1800" w:hanging="334"/>
        <w:spacing w:after="0" w:line="282" w:lineRule="auto"/>
        <w:tabs>
          <w:tab w:leader="none" w:pos="18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Insider’s best knowledge, the proposed trade(s) does not violate the trading restrictions of Section 16 of the Exchange Act or Rule 144 of the Securities Act of 1933, as amended; and</w:t>
      </w:r>
    </w:p>
    <w:p>
      <w:pPr>
        <w:spacing w:after="0" w:line="161" w:lineRule="exact"/>
        <w:rPr>
          <w:rFonts w:ascii="Times New Roman" w:cs="Times New Roman" w:eastAsia="Times New Roman" w:hAnsi="Times New Roman"/>
          <w:sz w:val="18"/>
          <w:szCs w:val="18"/>
          <w:color w:val="auto"/>
        </w:rPr>
      </w:pPr>
    </w:p>
    <w:p>
      <w:pPr>
        <w:ind w:left="1460" w:hanging="318"/>
        <w:spacing w:after="0" w:line="282" w:lineRule="auto"/>
        <w:tabs>
          <w:tab w:leader="none" w:pos="14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Officer or his or her designee has approved the trade(s) and has certified such approval in writing. Such certification may be made via digitally-signed electronic mail.</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13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Additional Information</w:t>
      </w:r>
      <w:r>
        <w:rPr>
          <w:rFonts w:ascii="Times New Roman" w:cs="Times New Roman" w:eastAsia="Times New Roman" w:hAnsi="Times New Roman"/>
          <w:sz w:val="18"/>
          <w:szCs w:val="18"/>
          <w:color w:val="auto"/>
        </w:rPr>
        <w:t>. Insiders shall provide to the Compliance Officer any documentation reasonably requested by him or her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furtherance of the foregoing procedures. Any failure to provide such requested information will be grounds for denial of approval by the Compliance Officer.</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13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Obligation to Approve Trades</w:t>
      </w:r>
      <w:r>
        <w:rPr>
          <w:rFonts w:ascii="Times New Roman" w:cs="Times New Roman" w:eastAsia="Times New Roman" w:hAnsi="Times New Roman"/>
          <w:sz w:val="18"/>
          <w:szCs w:val="18"/>
          <w:color w:val="auto"/>
        </w:rPr>
        <w:t>. The existence of the foregoing approval procedures does not in any way obligate the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to approve any trade requested by Insiders. The Compliance Officer may reject any trading request at his or her sole reasonable discretion.</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1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Completion of Trades</w:t>
      </w:r>
      <w:r>
        <w:rPr>
          <w:rFonts w:ascii="Times New Roman" w:cs="Times New Roman" w:eastAsia="Times New Roman" w:hAnsi="Times New Roman"/>
          <w:sz w:val="18"/>
          <w:szCs w:val="18"/>
          <w:color w:val="auto"/>
        </w:rPr>
        <w:t>. After receiving written clearance to engage in a trade signed by the Compliance Officer, an Insider must complete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proposed trade within three (3) business days or make a new trading request.</w:t>
      </w:r>
    </w:p>
    <w:p>
      <w:pPr>
        <w:spacing w:after="0" w:line="155" w:lineRule="exact"/>
        <w:rPr>
          <w:sz w:val="20"/>
          <w:szCs w:val="20"/>
          <w:color w:val="auto"/>
        </w:rPr>
      </w:pPr>
    </w:p>
    <w:p>
      <w:pPr>
        <w:ind w:left="1140" w:right="5360" w:hanging="484"/>
        <w:spacing w:after="0" w:line="286" w:lineRule="auto"/>
        <w:tabs>
          <w:tab w:leader="none" w:pos="11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EXEMPTION FROM CERTAIN TRADING RESTRICTIONS: PRE-APPROVED 10b5-1 PLAN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Transactions effected pursuant to a pre-approved Rule 10b5-1 Plan will not be subject to the Company’s trading windows, retirement plan blackout periods (if applicable) or pre-clearance procedures as described above, and Insiders are not required to complete an E*TRADE request or Stock Transaction Request form for such transactions. Rule 10b5-1 of the Exchange Act provides an opportunity for Insiders to establish arrangements to trade in Company securities outside the trading windows, even when in possession of undisclosed material information, provided that the transaction occurs pursuant to a Rule 10b5-1 Plan that came into existence before such Insider became aware of such material, nonpublic information.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Insider intends to trade pursuant to a Rule 10b5-1 Plan, such plan, arrangement or trading instructions must:</w:t>
      </w:r>
    </w:p>
    <w:p>
      <w:pPr>
        <w:spacing w:after="0" w:line="225" w:lineRule="exact"/>
        <w:rPr>
          <w:sz w:val="20"/>
          <w:szCs w:val="20"/>
          <w:color w:val="auto"/>
        </w:rPr>
      </w:pPr>
    </w:p>
    <w:p>
      <w:pPr>
        <w:ind w:left="1160" w:hanging="504"/>
        <w:spacing w:after="0"/>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requirements of Rule 10b5-1, including that:</w:t>
      </w:r>
    </w:p>
    <w:p>
      <w:pPr>
        <w:spacing w:after="0" w:line="225" w:lineRule="exact"/>
        <w:rPr>
          <w:rFonts w:ascii="Times New Roman" w:cs="Times New Roman" w:eastAsia="Times New Roman" w:hAnsi="Times New Roman"/>
          <w:sz w:val="18"/>
          <w:szCs w:val="18"/>
          <w:color w:val="auto"/>
        </w:rPr>
      </w:pPr>
    </w:p>
    <w:p>
      <w:pPr>
        <w:ind w:left="1800" w:hanging="334"/>
        <w:spacing w:after="0" w:line="282"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 10b5-1 Plan can only be established or amended at a time when the Insider does not possess material nonpublic information about the Company;</w:t>
      </w:r>
    </w:p>
    <w:p>
      <w:pPr>
        <w:spacing w:after="0" w:line="161" w:lineRule="exact"/>
        <w:rPr>
          <w:rFonts w:ascii="Times New Roman" w:cs="Times New Roman" w:eastAsia="Times New Roman" w:hAnsi="Times New Roman"/>
          <w:sz w:val="18"/>
          <w:szCs w:val="18"/>
          <w:color w:val="auto"/>
        </w:rPr>
      </w:pPr>
    </w:p>
    <w:p>
      <w:pPr>
        <w:jc w:val="both"/>
        <w:ind w:left="1800" w:hanging="334"/>
        <w:spacing w:after="0" w:line="254" w:lineRule="auto"/>
        <w:tabs>
          <w:tab w:leader="none" w:pos="18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 10b5-1 Plan must include a “cooling off period” between establishment or modification and a transaction under that Rule 10b5-1 Plan. For Insiders who are directors or officers within the meaning of Section 16 of the Exchange Act, the “cooling off period” is the later of (a) 90 days following establishment or modification of the Rule 10b5-1 Plan, and (b) two business days following disclosure in the Form 10-K or Form 10-Q filed by the Company disclosing the Company’s financial results for the period in which the plan was established or modified, in all cases subject to maximum “cooling off period” of 120 days. For other Insiders, the “cooling off period” is 30 days following establishment or modification of the Rule 10b5-1 Plan. Consistent with guidance from the SEC, for this limited purpose it will not be considered a modification of a Rule 10b5-1 plan if the modification does not change the sales or purchase prices or price ranges, the amount of securities to be sold or purchased, or the timing of transactions under a Rule 10b5-1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left="1800" w:hanging="334"/>
        <w:spacing w:after="0" w:line="266"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limited circumstances, Insiders may not at any one time have more than one Rule 10b5-1 Plan that covers all or a portion of the same time period. For clarity, this does not limit the ability of an Insider who adopts a Rule 10b5-1 Plan from engaging in the transactions described in Section VI.F.2;</w:t>
      </w:r>
    </w:p>
    <w:p>
      <w:pPr>
        <w:spacing w:after="0" w:line="175" w:lineRule="exact"/>
        <w:rPr>
          <w:rFonts w:ascii="Times New Roman" w:cs="Times New Roman" w:eastAsia="Times New Roman" w:hAnsi="Times New Roman"/>
          <w:sz w:val="18"/>
          <w:szCs w:val="18"/>
          <w:color w:val="auto"/>
        </w:rPr>
      </w:pPr>
    </w:p>
    <w:p>
      <w:pPr>
        <w:ind w:left="1800" w:hanging="334"/>
        <w:spacing w:after="0" w:line="282"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one Rule 10b5-1 Plan in any consecutive 12-month period be a single-trade plan or be designed to effect the purchase and sale as a single transaction and have the practical effect of requiring such result;</w:t>
      </w:r>
    </w:p>
    <w:p>
      <w:pPr>
        <w:spacing w:after="0" w:line="16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documented in writing;</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and only amended during a trading window or, if applicable, a period other than a retirement plan “blackout period”; and</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pre-approved by the Compliance Officer.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modification of an Insider’s Rule 10b5-1 Plan (including any deviation or alteration with respect to the specified amount, price or timing of a purchase or sale) requires pre-approval by the Compliance Officer, As noted above, any modification may only occur during a trading window and while the Insider is not aware of material nonpublic information regarding the Company, and many modifications to a Rule 10b5-1 Plan will require a new “cooling off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Compliance Officer may refuse to approve a plan, arrangement or trading instruction as he or she deems appropriate including, without limitation, if he or she determines that such plan, arrangement or trading instruction does not satisfy the requirements of Rule 10b5-1. The Compliance Officer may consult with the Company’s legal counsel before approving a plan, arrangement or trading instruction. If the Compliance Officer does not approve an Insider’s plan, arrangement or trading instruction, such Insider must adhere to the pre-clearance procedures and trading windows set forth above until such time as a plan, arrangement or trading instruction is approved.</w:t>
      </w:r>
    </w:p>
    <w:p>
      <w:pPr>
        <w:spacing w:after="0" w:line="179" w:lineRule="exact"/>
        <w:rPr>
          <w:sz w:val="20"/>
          <w:szCs w:val="20"/>
          <w:color w:val="auto"/>
        </w:rPr>
      </w:pPr>
    </w:p>
    <w:p>
      <w:pPr>
        <w:ind w:left="1140" w:hanging="484"/>
        <w:spacing w:after="0"/>
        <w:tabs>
          <w:tab w:leader="none" w:pos="11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EXERCISE OF STOCK OPTIONS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prohibitions and restrictions set forth in these Insider Trading Procedures do not apply to the exercise of an option to purchase securities of the Company. However, such a transaction is subject to the Section 16 current reporting requirements. Therefore, Insiders must comply with the post-trade reporting requirement described in Section VI.H. below for any such transaction. In addition, the securities acquired upon the exercise of an option to purchase Company securities are subject to the above procedures and all other requirements of these Insider Trading Procedures. In particular, such securities may not be sold by Insiders except during a trading window, after authorization from the Compliance Officer has been received. Moreover, these Insider Trading Procedures apply to the use of outstanding Company securities to constitute part or all of the exercise price of an option, any sale of stock as part of a broker-assisted cashless exercise of an option, or any other market sale for the purpose of generating the cash needed to pay the exercise price of an option.</w:t>
      </w:r>
    </w:p>
    <w:p>
      <w:pPr>
        <w:spacing w:after="0" w:line="188" w:lineRule="exact"/>
        <w:rPr>
          <w:sz w:val="20"/>
          <w:szCs w:val="20"/>
          <w:color w:val="auto"/>
        </w:rPr>
      </w:pPr>
    </w:p>
    <w:p>
      <w:pPr>
        <w:ind w:left="1140" w:hanging="484"/>
        <w:spacing w:after="0"/>
        <w:tabs>
          <w:tab w:leader="none" w:pos="11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FORMER EMPLOYEES: POST-TERMINATION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prohibitions and restrictions set forth in these Insider Trading Procedures continue to apply to Insiders following the termination of any such Insider’s service to or employment with the Company until any material, nonpublic information possessed by such Insider has become public or is no longer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left="1140" w:hanging="484"/>
        <w:spacing w:after="0"/>
        <w:tabs>
          <w:tab w:leader="none" w:pos="11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POST-TRADE REPORTING</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Insiders are required to report to the Compliance Officer any transaction (including transactions pursuant to a Rule 10b5-1 Plan) in securities of the Company by them or their Affiliated Persons no later than the end of the day in which the transaction occurs by completing the “Confirmation of Transaction” section of the Stock Transaction Request form attached to these Insider Trading Procedures or providing the same information to the Compliance Officer via the E*TRADE email. Compliance by Insiders with this provision is imperative given the requirement of Section 16 of the Exchange Act that Insiders generally must report changes in beneficial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This requirement is in addition to any required notification that the Company receives from the broker who completes the trade.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  POTENTIAL CIVIL, CRIMINAL AND DISCIPLINARY SANCTIONS</w:t>
      </w:r>
    </w:p>
    <w:p>
      <w:pPr>
        <w:spacing w:after="0" w:line="225" w:lineRule="exact"/>
        <w:rPr>
          <w:sz w:val="20"/>
          <w:szCs w:val="20"/>
          <w:color w:val="auto"/>
        </w:rPr>
      </w:pPr>
    </w:p>
    <w:p>
      <w:pPr>
        <w:ind w:left="1140" w:hanging="484"/>
        <w:spacing w:after="0"/>
        <w:tabs>
          <w:tab w:leader="none" w:pos="11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CIVIL AND CRIMINAL PENALTIES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consequences of prohibited insider trading can be severe. Persons violating insider trading or tipping rules may be required to disgorge the profit gained or the loss avoided by the trading; pay the loss suffered by the persons who, contemporaneously with the purchase or sale of securities that are the subject of such violation, have purchased (where such violation is based on a sale of securities) or sold (where such violation is based on a purchase of securities) securities of the same class; pay civil penalties up to three times the profit made or loss avoided; pay a criminal penalty of up to $5,000,000; and serve a jail term of up to 20 years. The Company and/or the supervisors of the person violating the rules may also be required to pay major civil or criminal penalties and could under certain circumstances be subject to private lawsuits by contemporaneous traders for damages suffered as a result of illegal insider trading or tipping by persons under the Company’s control.</w:t>
      </w:r>
    </w:p>
    <w:p>
      <w:pPr>
        <w:spacing w:after="0" w:line="185" w:lineRule="exact"/>
        <w:rPr>
          <w:sz w:val="20"/>
          <w:szCs w:val="20"/>
          <w:color w:val="auto"/>
        </w:rPr>
      </w:pPr>
    </w:p>
    <w:p>
      <w:pPr>
        <w:ind w:left="1140" w:hanging="484"/>
        <w:spacing w:after="0"/>
        <w:tabs>
          <w:tab w:leader="none" w:pos="11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DISCIPLINE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Violation of these Insider Trading Procedures, the Insider Trading Statement or federal or state insider trading laws may subject the person violating such policies or laws to disciplinary action by the Company up to and including termination and damages. The Company reserves the right to determine, in its own discretion and on the basis of the information available to it, whether these Insider Trading Procedures have been violated. The Company may determine that specific conduct violates these Insider Trading Procedures, whether or not the conduct also violates the law. It is not necessary for the Company to await the filing or conclusion of a civil or criminal action against the alleged violator before taking disciplinary action.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VIII. REPORTING OF VIOLATIONS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Insider who violates these Insider Trading Procedures, the Insider Trading Statement or any federal or state laws governing insider trading, or knows of any such violation by any director, officer or employee of the Company, must report the violation immediately to the Compliance Officer. However, if the conduct in question involves the Compliance Officer, if the Insider has reported it to the Compliance Officer and does not believe that he or she has dealt with it properly, or if the Insider does not feel that he or she can discuss the matter with the Compliance Officer, the Insider may raise the matter with the Chief Executive Officer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IX.</w:t>
      </w:r>
      <w:r>
        <w:rPr>
          <w:sz w:val="20"/>
          <w:szCs w:val="20"/>
          <w:color w:val="auto"/>
        </w:rPr>
        <w:tab/>
      </w:r>
      <w:r>
        <w:rPr>
          <w:rFonts w:ascii="Times New Roman" w:cs="Times New Roman" w:eastAsia="Times New Roman" w:hAnsi="Times New Roman"/>
          <w:sz w:val="17"/>
          <w:szCs w:val="17"/>
          <w:b w:val="1"/>
          <w:bCs w:val="1"/>
          <w:color w:val="auto"/>
        </w:rPr>
        <w:t>WAIVERS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waiver of any provision of these Insider Trading Procedures in a specific instance may be authorized in writing by the Compliance Officer or his or her designee, and any such waiver shall be reported to the Company’s Board of Directors.</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X.</w:t>
      </w:r>
      <w:r>
        <w:rPr>
          <w:sz w:val="20"/>
          <w:szCs w:val="20"/>
          <w:color w:val="auto"/>
        </w:rPr>
        <w:tab/>
      </w:r>
      <w:r>
        <w:rPr>
          <w:rFonts w:ascii="Times New Roman" w:cs="Times New Roman" w:eastAsia="Times New Roman" w:hAnsi="Times New Roman"/>
          <w:sz w:val="17"/>
          <w:szCs w:val="17"/>
          <w:b w:val="1"/>
          <w:bCs w:val="1"/>
          <w:color w:val="auto"/>
        </w:rPr>
        <w:t>MODIFICATIONS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at any time change these Insider Trading Procedures or adopt such other policies or procedures which it considers appropriate to carry out the purposes of its insider trading policy. Notice of any such change will be delivered to Insiders by regular or electronic mail (or other delivery option used by the Company) by the Compliance Officer or his or her designee. An Insider will be deemed to have received, be bound by and agree to revisions of these Insider Trading Procedures when any such revision has been delivered to such Insider unless the Insider objects to any revision therein in a written statement received by the Compliance Officer within two (2) business days of such delivery.</w:t>
      </w:r>
    </w:p>
    <w:p>
      <w:pPr>
        <w:spacing w:after="0" w:line="3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XI.</w:t>
        <w:tab/>
        <w:t>QUESTIONS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Questions regarding these Insider Trading Procedures or the Company’s Insider Trading Statement are encouraged and may be directed to the Compliance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observe these Insider Trading Procedures and the Insider Trading Statement could lead to significant legal problems, and could have other serious consequences, including termination of employment or consultancy, as applicable, and damages.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July 25,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hereby acknowledge that I have read, that I understand, and that I agree to comply with, the </w:t>
      </w:r>
      <w:r>
        <w:rPr>
          <w:rFonts w:ascii="Times New Roman" w:cs="Times New Roman" w:eastAsia="Times New Roman" w:hAnsi="Times New Roman"/>
          <w:sz w:val="18"/>
          <w:szCs w:val="18"/>
          <w:u w:val="single" w:color="auto"/>
          <w:color w:val="auto"/>
        </w:rPr>
        <w:t>Statement of Company Policy on Insider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Disclosure</w:t>
      </w:r>
      <w:r>
        <w:rPr>
          <w:rFonts w:ascii="Times New Roman" w:cs="Times New Roman" w:eastAsia="Times New Roman" w:hAnsi="Times New Roman"/>
          <w:sz w:val="18"/>
          <w:szCs w:val="18"/>
          <w:color w:val="auto"/>
        </w:rPr>
        <w:t xml:space="preserve"> (the “Insider Trading Statement”) and the </w:t>
      </w:r>
      <w:r>
        <w:rPr>
          <w:rFonts w:ascii="Times New Roman" w:cs="Times New Roman" w:eastAsia="Times New Roman" w:hAnsi="Times New Roman"/>
          <w:sz w:val="18"/>
          <w:szCs w:val="18"/>
          <w:u w:val="single" w:color="auto"/>
          <w:color w:val="auto"/>
        </w:rPr>
        <w:t>Insider Trading Procedures</w:t>
      </w:r>
      <w:r>
        <w:rPr>
          <w:rFonts w:ascii="Times New Roman" w:cs="Times New Roman" w:eastAsia="Times New Roman" w:hAnsi="Times New Roman"/>
          <w:sz w:val="18"/>
          <w:szCs w:val="18"/>
          <w:color w:val="auto"/>
        </w:rPr>
        <w:t xml:space="preserve"> (the “Insider Trading Procedures” and, together with the Insider Trading Statement, the “Insider Trading Policy”) of LeMaitre Vascular, Inc. (the “Company”). I also understand and agree that I will be subject to sanctions, including termination and damages, that may be imposed by the Company, in its sole discretion, for violation of the Insider Trading Policy, and that the Company may give stop-transfer and other instructions to the Company’s transfer agent against the transfer of Company securities by the undersigned in a transaction that the Company considers to be in contravention of the Insider Trading Policy.</w:t>
      </w:r>
    </w:p>
    <w:p>
      <w:pPr>
        <w:spacing w:after="0" w:line="187"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16973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17145</wp:posOffset>
            </wp:positionV>
            <wp:extent cx="27686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8890</wp:posOffset>
            </wp:positionV>
            <wp:extent cx="27686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5715</wp:posOffset>
            </wp:positionV>
            <wp:extent cx="27686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5" w:name="page96"/>
    <w:bookmarkEnd w:id="95"/>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LeMaitre Vascular, Inc.’s Insider Trading Procedures (the “Insider Trading Procedures”), I hereby notify LeMaitre Vascular, Inc. (the “Company”) of my intent to trade the securities of the Company as indicated below:</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0" w:type="dxa"/>
            <w:vAlign w:val="bottom"/>
            <w:tcBorders>
              <w:top w:val="single" w:sz="8" w:color="auto"/>
              <w:left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REQUESTER INFORMATION</w:t>
            </w:r>
          </w:p>
        </w:tc>
        <w:tc>
          <w:tcPr>
            <w:tcW w:w="680" w:type="dxa"/>
            <w:vAlign w:val="bottom"/>
            <w:tcBorders>
              <w:top w:val="single" w:sz="8" w:color="auto"/>
            </w:tcBorders>
          </w:tcPr>
          <w:p>
            <w:pPr>
              <w:spacing w:after="0"/>
              <w:rPr>
                <w:sz w:val="18"/>
                <w:szCs w:val="18"/>
                <w:color w:val="auto"/>
              </w:rPr>
            </w:pPr>
          </w:p>
        </w:tc>
        <w:tc>
          <w:tcPr>
            <w:tcW w:w="7300" w:type="dxa"/>
            <w:vAlign w:val="bottom"/>
            <w:tcBorders>
              <w:top w:val="single" w:sz="8" w:color="auto"/>
              <w:right w:val="single" w:sz="8" w:color="auto"/>
            </w:tcBorders>
          </w:tcPr>
          <w:p>
            <w:pPr>
              <w:spacing w:after="0"/>
              <w:rPr>
                <w:sz w:val="18"/>
                <w:szCs w:val="18"/>
                <w:color w:val="auto"/>
              </w:rPr>
            </w:pPr>
          </w:p>
        </w:tc>
      </w:tr>
      <w:tr>
        <w:trPr>
          <w:trHeight w:val="291"/>
        </w:trPr>
        <w:tc>
          <w:tcPr>
            <w:tcW w:w="220" w:type="dxa"/>
            <w:vAlign w:val="bottom"/>
            <w:tcBorders>
              <w:left w:val="single" w:sz="8" w:color="auto"/>
            </w:tcBorders>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Insider’s Name:</w:t>
            </w:r>
          </w:p>
        </w:tc>
        <w:tc>
          <w:tcPr>
            <w:tcW w:w="8920" w:type="dxa"/>
            <w:vAlign w:val="bottom"/>
            <w:tcBorders>
              <w:right w:val="single" w:sz="8" w:color="auto"/>
            </w:tcBorders>
            <w:gridSpan w:val="5"/>
          </w:tcPr>
          <w:p>
            <w:pPr>
              <w:jc w:val="right"/>
              <w:ind w:right="5090"/>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r>
      <w:tr>
        <w:trPr>
          <w:trHeight w:val="243"/>
        </w:trPr>
        <w:tc>
          <w:tcPr>
            <w:tcW w:w="220" w:type="dxa"/>
            <w:vAlign w:val="bottom"/>
            <w:tcBorders>
              <w:left w:val="single" w:sz="8" w:color="auto"/>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300" w:type="dxa"/>
            <w:vAlign w:val="bottom"/>
            <w:tcBorders>
              <w:bottom w:val="single" w:sz="8" w:color="auto"/>
              <w:right w:val="single" w:sz="8" w:color="auto"/>
            </w:tcBorders>
          </w:tcPr>
          <w:p>
            <w:pPr>
              <w:spacing w:after="0"/>
              <w:rPr>
                <w:sz w:val="21"/>
                <w:szCs w:val="21"/>
                <w:color w:val="auto"/>
              </w:rPr>
            </w:pPr>
          </w:p>
        </w:tc>
      </w:tr>
      <w:tr>
        <w:trPr>
          <w:trHeight w:val="210"/>
        </w:trPr>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20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INTENT TO PURCHASE</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300" w:type="dxa"/>
            <w:vAlign w:val="bottom"/>
            <w:tcBorders>
              <w:right w:val="single" w:sz="8" w:color="auto"/>
            </w:tcBorders>
          </w:tcPr>
          <w:p>
            <w:pPr>
              <w:spacing w:after="0"/>
              <w:rPr>
                <w:sz w:val="17"/>
                <w:szCs w:val="17"/>
                <w:color w:val="auto"/>
              </w:rPr>
            </w:pPr>
          </w:p>
        </w:tc>
      </w:tr>
      <w:tr>
        <w:trPr>
          <w:trHeight w:val="291"/>
        </w:trPr>
        <w:tc>
          <w:tcPr>
            <w:tcW w:w="1760" w:type="dxa"/>
            <w:vAlign w:val="bottom"/>
            <w:tcBorders>
              <w:lef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Number of shares: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0" w:type="dxa"/>
            <w:vAlign w:val="bottom"/>
            <w:tcBorders>
              <w:right w:val="single" w:sz="8" w:color="auto"/>
            </w:tcBorders>
            <w:gridSpan w:val="3"/>
          </w:tcPr>
          <w:p>
            <w:pPr>
              <w:jc w:val="right"/>
              <w:ind w:right="593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65"/>
        </w:trPr>
        <w:tc>
          <w:tcPr>
            <w:tcW w:w="1760" w:type="dxa"/>
            <w:vAlign w:val="bottom"/>
            <w:tcBorders>
              <w:lef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Intended trade date:</w:t>
            </w: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0" w:type="dxa"/>
            <w:vAlign w:val="bottom"/>
            <w:tcBorders>
              <w:right w:val="single" w:sz="8" w:color="auto"/>
            </w:tcBorders>
            <w:gridSpan w:val="3"/>
          </w:tcPr>
          <w:p>
            <w:pPr>
              <w:jc w:val="right"/>
              <w:ind w:right="591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03"/>
        </w:trPr>
        <w:tc>
          <w:tcPr>
            <w:tcW w:w="220" w:type="dxa"/>
            <w:vAlign w:val="bottom"/>
            <w:tcBorders>
              <w:left w:val="single" w:sz="8" w:color="auto"/>
            </w:tcBorders>
          </w:tcPr>
          <w:p>
            <w:pPr>
              <w:spacing w:after="0"/>
              <w:rPr>
                <w:sz w:val="24"/>
                <w:szCs w:val="24"/>
                <w:color w:val="auto"/>
              </w:rPr>
            </w:pPr>
          </w:p>
        </w:tc>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of acquiring shares:</w:t>
            </w:r>
          </w:p>
        </w:tc>
        <w:tc>
          <w:tcPr>
            <w:tcW w:w="420" w:type="dxa"/>
            <w:vAlign w:val="bottom"/>
          </w:tcPr>
          <w:p>
            <w:pPr>
              <w:spacing w:after="0"/>
              <w:rPr>
                <w:sz w:val="24"/>
                <w:szCs w:val="24"/>
                <w:color w:val="auto"/>
              </w:rPr>
            </w:pPr>
          </w:p>
        </w:tc>
        <w:tc>
          <w:tcPr>
            <w:tcW w:w="6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3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Purchase through a broker on the open market</w:t>
            </w:r>
          </w:p>
        </w:tc>
      </w:tr>
      <w:tr>
        <w:trPr>
          <w:trHeight w:val="494"/>
        </w:trPr>
        <w:tc>
          <w:tcPr>
            <w:tcW w:w="2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3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Other (please specify):</w:t>
            </w:r>
          </w:p>
        </w:tc>
      </w:tr>
      <w:tr>
        <w:trPr>
          <w:trHeight w:val="234"/>
        </w:trPr>
        <w:tc>
          <w:tcPr>
            <w:tcW w:w="220" w:type="dxa"/>
            <w:vAlign w:val="bottom"/>
            <w:tcBorders>
              <w:lef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567"/>
        </w:trPr>
        <w:tc>
          <w:tcPr>
            <w:tcW w:w="22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r>
      <w:tr>
        <w:trPr>
          <w:trHeight w:val="209"/>
        </w:trPr>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1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INTENT TO SELL</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300" w:type="dxa"/>
            <w:vAlign w:val="bottom"/>
            <w:tcBorders>
              <w:right w:val="single" w:sz="8" w:color="auto"/>
            </w:tcBorders>
          </w:tcPr>
          <w:p>
            <w:pPr>
              <w:spacing w:after="0"/>
              <w:rPr>
                <w:sz w:val="17"/>
                <w:szCs w:val="17"/>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0" w:type="dxa"/>
            <w:vAlign w:val="bottom"/>
            <w:tcBorders>
              <w:right w:val="single" w:sz="8" w:color="auto"/>
            </w:tcBorders>
            <w:gridSpan w:val="3"/>
          </w:tcPr>
          <w:p>
            <w:pPr>
              <w:spacing w:after="0" w:line="20" w:lineRule="exact"/>
              <w:rPr>
                <w:sz w:val="1"/>
                <w:szCs w:val="1"/>
                <w:color w:val="auto"/>
              </w:rPr>
            </w:pPr>
          </w:p>
        </w:tc>
      </w:tr>
      <w:tr>
        <w:trPr>
          <w:trHeight w:val="291"/>
        </w:trPr>
        <w:tc>
          <w:tcPr>
            <w:tcW w:w="1760" w:type="dxa"/>
            <w:vAlign w:val="bottom"/>
            <w:tcBorders>
              <w:lef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Number of shares: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0" w:type="dxa"/>
            <w:vAlign w:val="bottom"/>
            <w:tcBorders>
              <w:right w:val="single" w:sz="8" w:color="auto"/>
            </w:tcBorders>
            <w:gridSpan w:val="3"/>
          </w:tcPr>
          <w:p>
            <w:pPr>
              <w:jc w:val="right"/>
              <w:ind w:right="593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65"/>
        </w:trPr>
        <w:tc>
          <w:tcPr>
            <w:tcW w:w="1760" w:type="dxa"/>
            <w:vAlign w:val="bottom"/>
            <w:tcBorders>
              <w:lef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Intended trade date:</w:t>
            </w: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0" w:type="dxa"/>
            <w:vAlign w:val="bottom"/>
            <w:tcBorders>
              <w:right w:val="single" w:sz="8" w:color="auto"/>
            </w:tcBorders>
            <w:gridSpan w:val="3"/>
          </w:tcPr>
          <w:p>
            <w:pPr>
              <w:jc w:val="right"/>
              <w:ind w:right="591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03"/>
        </w:trPr>
        <w:tc>
          <w:tcPr>
            <w:tcW w:w="220" w:type="dxa"/>
            <w:vAlign w:val="bottom"/>
            <w:tcBorders>
              <w:left w:val="single" w:sz="8" w:color="auto"/>
            </w:tcBorders>
          </w:tcPr>
          <w:p>
            <w:pPr>
              <w:spacing w:after="0"/>
              <w:rPr>
                <w:sz w:val="24"/>
                <w:szCs w:val="24"/>
                <w:color w:val="auto"/>
              </w:rPr>
            </w:pPr>
          </w:p>
        </w:tc>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of selling shares:</w:t>
            </w:r>
          </w:p>
        </w:tc>
        <w:tc>
          <w:tcPr>
            <w:tcW w:w="420" w:type="dxa"/>
            <w:vAlign w:val="bottom"/>
          </w:tcPr>
          <w:p>
            <w:pPr>
              <w:spacing w:after="0"/>
              <w:rPr>
                <w:sz w:val="24"/>
                <w:szCs w:val="24"/>
                <w:color w:val="auto"/>
              </w:rPr>
            </w:pPr>
          </w:p>
        </w:tc>
        <w:tc>
          <w:tcPr>
            <w:tcW w:w="6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3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Sale through a broker on the open market</w:t>
            </w:r>
          </w:p>
        </w:tc>
      </w:tr>
      <w:tr>
        <w:trPr>
          <w:trHeight w:val="494"/>
        </w:trPr>
        <w:tc>
          <w:tcPr>
            <w:tcW w:w="2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73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(please specify):</w:t>
            </w:r>
          </w:p>
        </w:tc>
      </w:tr>
      <w:tr>
        <w:trPr>
          <w:trHeight w:val="234"/>
        </w:trPr>
        <w:tc>
          <w:tcPr>
            <w:tcW w:w="220" w:type="dxa"/>
            <w:vAlign w:val="bottom"/>
            <w:tcBorders>
              <w:lef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567"/>
        </w:trPr>
        <w:tc>
          <w:tcPr>
            <w:tcW w:w="22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0" w:type="dxa"/>
            <w:vAlign w:val="bottom"/>
            <w:tcBorders>
              <w:top w:val="single" w:sz="8" w:color="auto"/>
              <w:left w:val="single" w:sz="8" w:color="auto"/>
            </w:tcBorders>
          </w:tcPr>
          <w:p>
            <w:pPr>
              <w:spacing w:after="0"/>
              <w:rPr>
                <w:sz w:val="18"/>
                <w:szCs w:val="18"/>
                <w:color w:val="auto"/>
              </w:rPr>
            </w:pPr>
          </w:p>
        </w:tc>
        <w:tc>
          <w:tcPr>
            <w:tcW w:w="31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1440" w:type="dxa"/>
            <w:vAlign w:val="bottom"/>
            <w:gridSpan w:val="4"/>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20" w:type="dxa"/>
            <w:vAlign w:val="bottom"/>
            <w:tcBorders>
              <w:right w:val="single" w:sz="8" w:color="auto"/>
            </w:tcBorders>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80" w:type="dxa"/>
            <w:vAlign w:val="bottom"/>
            <w:tcBorders>
              <w:left w:val="single" w:sz="8" w:color="auto"/>
              <w:right w:val="single" w:sz="8" w:color="auto"/>
            </w:tcBorders>
            <w:gridSpan w:val="20"/>
          </w:tcPr>
          <w:p>
            <w:pPr>
              <w:ind w:left="180"/>
              <w:spacing w:after="0"/>
              <w:rPr>
                <w:sz w:val="20"/>
                <w:szCs w:val="20"/>
                <w:color w:val="auto"/>
              </w:rPr>
            </w:pPr>
            <w:r>
              <w:rPr>
                <w:rFonts w:ascii="Times New Roman" w:cs="Times New Roman" w:eastAsia="Times New Roman" w:hAnsi="Times New Roman"/>
                <w:sz w:val="18"/>
                <w:szCs w:val="18"/>
                <w:color w:val="auto"/>
              </w:rPr>
              <w:t>I hereby certify that (i) I am not in possession of any material, nonpublic information concerning the Company, as defined in the Company’s</w:t>
            </w:r>
          </w:p>
        </w:tc>
        <w:tc>
          <w:tcPr>
            <w:tcW w:w="0" w:type="dxa"/>
            <w:vAlign w:val="bottom"/>
          </w:tcPr>
          <w:p>
            <w:pPr>
              <w:spacing w:after="0"/>
              <w:rPr>
                <w:sz w:val="1"/>
                <w:szCs w:val="1"/>
                <w:color w:val="auto"/>
              </w:rPr>
            </w:pPr>
          </w:p>
        </w:tc>
      </w:tr>
      <w:tr>
        <w:trPr>
          <w:trHeight w:val="216"/>
        </w:trPr>
        <w:tc>
          <w:tcPr>
            <w:tcW w:w="10680" w:type="dxa"/>
            <w:vAlign w:val="bottom"/>
            <w:tcBorders>
              <w:left w:val="single" w:sz="8" w:color="auto"/>
              <w:right w:val="single" w:sz="8" w:color="auto"/>
            </w:tcBorders>
            <w:gridSpan w:val="20"/>
          </w:tcPr>
          <w:p>
            <w:pPr>
              <w:ind w:left="180"/>
              <w:spacing w:after="0"/>
              <w:rPr>
                <w:sz w:val="20"/>
                <w:szCs w:val="20"/>
                <w:color w:val="auto"/>
              </w:rPr>
            </w:pPr>
            <w:r>
              <w:rPr>
                <w:rFonts w:ascii="Times New Roman" w:cs="Times New Roman" w:eastAsia="Times New Roman" w:hAnsi="Times New Roman"/>
                <w:sz w:val="18"/>
                <w:szCs w:val="18"/>
                <w:color w:val="auto"/>
              </w:rPr>
              <w:t>Statement of Company Policy on Insider Trading and Disclosure, (ii) to the best of my knowledge, the proposed trade(s) listed above does not</w:t>
            </w:r>
          </w:p>
        </w:tc>
        <w:tc>
          <w:tcPr>
            <w:tcW w:w="0" w:type="dxa"/>
            <w:vAlign w:val="bottom"/>
          </w:tcPr>
          <w:p>
            <w:pPr>
              <w:spacing w:after="0"/>
              <w:rPr>
                <w:sz w:val="1"/>
                <w:szCs w:val="1"/>
                <w:color w:val="auto"/>
              </w:rPr>
            </w:pPr>
          </w:p>
        </w:tc>
      </w:tr>
      <w:tr>
        <w:trPr>
          <w:trHeight w:val="216"/>
        </w:trPr>
        <w:tc>
          <w:tcPr>
            <w:tcW w:w="10680" w:type="dxa"/>
            <w:vAlign w:val="bottom"/>
            <w:tcBorders>
              <w:left w:val="single" w:sz="8" w:color="auto"/>
              <w:right w:val="single" w:sz="8" w:color="auto"/>
            </w:tcBorders>
            <w:gridSpan w:val="20"/>
          </w:tcPr>
          <w:p>
            <w:pPr>
              <w:ind w:left="180"/>
              <w:spacing w:after="0"/>
              <w:rPr>
                <w:sz w:val="20"/>
                <w:szCs w:val="20"/>
                <w:color w:val="auto"/>
              </w:rPr>
            </w:pPr>
            <w:r>
              <w:rPr>
                <w:rFonts w:ascii="Times New Roman" w:cs="Times New Roman" w:eastAsia="Times New Roman" w:hAnsi="Times New Roman"/>
                <w:sz w:val="18"/>
                <w:szCs w:val="18"/>
                <w:color w:val="auto"/>
              </w:rPr>
              <w:t>violate the trading restrictions of Section 16 of the Securities Exchange Act of 1934, as amended, or Rule 144 under the Securities Act of 1933,</w:t>
            </w:r>
          </w:p>
        </w:tc>
        <w:tc>
          <w:tcPr>
            <w:tcW w:w="0" w:type="dxa"/>
            <w:vAlign w:val="bottom"/>
          </w:tcPr>
          <w:p>
            <w:pPr>
              <w:spacing w:after="0"/>
              <w:rPr>
                <w:sz w:val="1"/>
                <w:szCs w:val="1"/>
                <w:color w:val="auto"/>
              </w:rPr>
            </w:pPr>
          </w:p>
        </w:tc>
      </w:tr>
      <w:tr>
        <w:trPr>
          <w:trHeight w:val="216"/>
        </w:trPr>
        <w:tc>
          <w:tcPr>
            <w:tcW w:w="9880" w:type="dxa"/>
            <w:vAlign w:val="bottom"/>
            <w:tcBorders>
              <w:left w:val="single" w:sz="8" w:color="auto"/>
            </w:tcBorders>
            <w:gridSpan w:val="16"/>
          </w:tcPr>
          <w:p>
            <w:pPr>
              <w:ind w:left="180"/>
              <w:spacing w:after="0"/>
              <w:rPr>
                <w:sz w:val="20"/>
                <w:szCs w:val="20"/>
                <w:color w:val="auto"/>
              </w:rPr>
            </w:pPr>
            <w:r>
              <w:rPr>
                <w:rFonts w:ascii="Times New Roman" w:cs="Times New Roman" w:eastAsia="Times New Roman" w:hAnsi="Times New Roman"/>
                <w:sz w:val="18"/>
                <w:szCs w:val="18"/>
                <w:color w:val="auto"/>
                <w:w w:val="99"/>
              </w:rPr>
              <w:t>as amended, and (iii) I am not purchasing any securities of the Company on margin in contravention of the Company’s Insider Trading</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tcBorders>
              <w:left w:val="single" w:sz="8" w:color="auto"/>
              <w:right w:val="single" w:sz="8" w:color="auto"/>
            </w:tcBorders>
            <w:gridSpan w:val="20"/>
          </w:tcPr>
          <w:p>
            <w:pPr>
              <w:ind w:left="180"/>
              <w:spacing w:after="0"/>
              <w:rPr>
                <w:sz w:val="20"/>
                <w:szCs w:val="20"/>
                <w:color w:val="auto"/>
              </w:rPr>
            </w:pPr>
            <w:r>
              <w:rPr>
                <w:rFonts w:ascii="Times New Roman" w:cs="Times New Roman" w:eastAsia="Times New Roman" w:hAnsi="Times New Roman"/>
                <w:sz w:val="18"/>
                <w:szCs w:val="18"/>
                <w:color w:val="auto"/>
              </w:rPr>
              <w:t>Procedures. I understand that, if I trade while possessing such information or in violation of such trading restrictions, I may be subject to severe</w:t>
            </w:r>
          </w:p>
        </w:tc>
        <w:tc>
          <w:tcPr>
            <w:tcW w:w="0" w:type="dxa"/>
            <w:vAlign w:val="bottom"/>
          </w:tcPr>
          <w:p>
            <w:pPr>
              <w:spacing w:after="0"/>
              <w:rPr>
                <w:sz w:val="1"/>
                <w:szCs w:val="1"/>
                <w:color w:val="auto"/>
              </w:rPr>
            </w:pPr>
          </w:p>
        </w:tc>
      </w:tr>
      <w:tr>
        <w:trPr>
          <w:trHeight w:val="234"/>
        </w:trPr>
        <w:tc>
          <w:tcPr>
            <w:tcW w:w="9880" w:type="dxa"/>
            <w:vAlign w:val="bottom"/>
            <w:tcBorders>
              <w:left w:val="single" w:sz="8" w:color="auto"/>
            </w:tcBorders>
            <w:gridSpan w:val="16"/>
          </w:tcPr>
          <w:p>
            <w:pPr>
              <w:ind w:left="180"/>
              <w:spacing w:after="0"/>
              <w:rPr>
                <w:sz w:val="20"/>
                <w:szCs w:val="20"/>
                <w:color w:val="auto"/>
              </w:rPr>
            </w:pPr>
            <w:r>
              <w:rPr>
                <w:rFonts w:ascii="Times New Roman" w:cs="Times New Roman" w:eastAsia="Times New Roman" w:hAnsi="Times New Roman"/>
                <w:sz w:val="18"/>
                <w:szCs w:val="18"/>
                <w:color w:val="auto"/>
              </w:rPr>
              <w:t>civil and/or criminal penalties, and may be subject to discipline by the Company including termination and damages.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Borders>
              <w:lef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Insider’s Signature</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Date</w:t>
            </w:r>
          </w:p>
        </w:tc>
        <w:tc>
          <w:tcPr>
            <w:tcW w:w="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3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AUTHORIZED APPROVAL</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20" w:type="dxa"/>
            <w:vAlign w:val="bottom"/>
            <w:tcBorders>
              <w:left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9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Signature of Compliance Officer (or designee)</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Date</w:t>
            </w:r>
          </w:p>
        </w:tc>
        <w:tc>
          <w:tcPr>
            <w:tcW w:w="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312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CONFIRMATION OF TRANSACTION</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6720" w:type="dxa"/>
            <w:vAlign w:val="bottom"/>
            <w:tcBorders>
              <w:left w:val="single" w:sz="8" w:color="auto"/>
            </w:tcBorders>
            <w:gridSpan w:val="14"/>
          </w:tcPr>
          <w:p>
            <w:pPr>
              <w:ind w:left="180"/>
              <w:spacing w:after="0"/>
              <w:rPr>
                <w:sz w:val="20"/>
                <w:szCs w:val="20"/>
                <w:color w:val="auto"/>
              </w:rPr>
            </w:pPr>
            <w:r>
              <w:rPr>
                <w:rFonts w:ascii="Times New Roman" w:cs="Times New Roman" w:eastAsia="Times New Roman" w:hAnsi="Times New Roman"/>
                <w:sz w:val="18"/>
                <w:szCs w:val="18"/>
                <w:color w:val="auto"/>
              </w:rPr>
              <w:t>I hereby confirm that the transaction(s) requested above was (were) executed as follows:</w:t>
            </w: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20" w:type="dxa"/>
            <w:vAlign w:val="bottom"/>
            <w:tcBorders>
              <w:left w:val="single" w:sz="8" w:color="auto"/>
            </w:tcBorders>
          </w:tcPr>
          <w:p>
            <w:pPr>
              <w:spacing w:after="0"/>
              <w:rPr>
                <w:sz w:val="24"/>
                <w:szCs w:val="24"/>
                <w:color w:val="auto"/>
              </w:rPr>
            </w:pPr>
          </w:p>
        </w:tc>
        <w:tc>
          <w:tcPr>
            <w:tcW w:w="1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Purchase of shares: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20" w:type="dxa"/>
            <w:vAlign w:val="bottom"/>
            <w:tcBorders>
              <w:left w:val="single" w:sz="8" w:color="auto"/>
            </w:tcBorders>
          </w:tcPr>
          <w:p>
            <w:pPr>
              <w:spacing w:after="0"/>
              <w:rPr>
                <w:sz w:val="13"/>
                <w:szCs w:val="13"/>
                <w:color w:val="auto"/>
              </w:rPr>
            </w:pPr>
          </w:p>
        </w:tc>
        <w:tc>
          <w:tcPr>
            <w:tcW w:w="1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_______</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Price per share:</w:t>
            </w:r>
          </w:p>
        </w:tc>
        <w:tc>
          <w:tcPr>
            <w:tcW w:w="1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_______</w:t>
            </w:r>
          </w:p>
        </w:tc>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Date and approximate time of purchase:</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8"/>
              </w:rPr>
              <w:t>_______</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20" w:type="dxa"/>
            <w:vAlign w:val="bottom"/>
            <w:tcBorders>
              <w:lef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31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2"/>
        </w:trPr>
        <w:tc>
          <w:tcPr>
            <w:tcW w:w="220" w:type="dxa"/>
            <w:vAlign w:val="bottom"/>
            <w:tcBorders>
              <w:left w:val="single" w:sz="8" w:color="auto"/>
            </w:tcBorders>
          </w:tcPr>
          <w:p>
            <w:pPr>
              <w:spacing w:after="0"/>
              <w:rPr>
                <w:sz w:val="24"/>
                <w:szCs w:val="24"/>
                <w:color w:val="auto"/>
              </w:rPr>
            </w:pPr>
          </w:p>
        </w:tc>
        <w:tc>
          <w:tcPr>
            <w:tcW w:w="1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w w:val="88"/>
              </w:rPr>
              <w: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Sale of shares: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20" w:type="dxa"/>
            <w:vAlign w:val="bottom"/>
            <w:tcBorders>
              <w:left w:val="single" w:sz="8" w:color="auto"/>
            </w:tcBorders>
          </w:tcPr>
          <w:p>
            <w:pPr>
              <w:spacing w:after="0"/>
              <w:rPr>
                <w:sz w:val="13"/>
                <w:szCs w:val="13"/>
                <w:color w:val="auto"/>
              </w:rPr>
            </w:pPr>
          </w:p>
        </w:tc>
        <w:tc>
          <w:tcPr>
            <w:tcW w:w="1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_______</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Price per share:</w:t>
            </w:r>
          </w:p>
        </w:tc>
        <w:tc>
          <w:tcPr>
            <w:tcW w:w="1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_______</w:t>
            </w:r>
          </w:p>
        </w:tc>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Date and approximate time of sale:</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8"/>
              </w:rPr>
              <w:t>_______</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20" w:type="dxa"/>
            <w:vAlign w:val="bottom"/>
            <w:tcBorders>
              <w:lef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31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22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Insider’s Signature</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w:t>
            </w:r>
          </w:p>
        </w:tc>
        <w:tc>
          <w:tcPr>
            <w:tcW w:w="2580" w:type="dxa"/>
            <w:vAlign w:val="bottom"/>
            <w:tcBorders>
              <w:bottom w:val="single" w:sz="8" w:color="auto"/>
            </w:tcBorders>
            <w:gridSpan w:val="5"/>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 herein.</w:t>
      </w:r>
    </w:p>
    <w:p>
      <w:pPr>
        <w:sectPr>
          <w:pgSz w:w="11900" w:h="16838" w:orient="portrait"/>
          <w:cols w:equalWidth="0" w:num="1">
            <w:col w:w="10680"/>
          </w:cols>
          <w:pgMar w:left="320" w:top="580" w:right="899" w:bottom="0" w:gutter="0" w:footer="0" w:header="0"/>
        </w:sectPr>
      </w:pPr>
    </w:p>
    <w:bookmarkStart w:id="96" w:name="page97"/>
    <w:bookmarkEnd w:id="9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8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w w:val="99"/>
              </w:rPr>
              <w:t>EXHIBIT 21.1</w:t>
            </w:r>
          </w:p>
        </w:tc>
      </w:tr>
      <w:tr>
        <w:trPr>
          <w:trHeight w:val="432"/>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8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32"/>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is a list of our subsidiaries:</w:t>
            </w:r>
          </w:p>
        </w:tc>
        <w:tc>
          <w:tcPr>
            <w:tcW w:w="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37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40" w:type="dxa"/>
            <w:vAlign w:val="bottom"/>
          </w:tcPr>
          <w:p>
            <w:pPr>
              <w:spacing w:after="0"/>
              <w:rPr>
                <w:sz w:val="20"/>
                <w:szCs w:val="20"/>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Name Under Which Does Business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Vascular GmbH</w:t>
            </w:r>
          </w:p>
        </w:tc>
        <w:tc>
          <w:tcPr>
            <w:tcW w:w="160" w:type="dxa"/>
            <w:vAlign w:val="bottom"/>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LeMaitre Vascular GK</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Acquisition LLC</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LeMaitre Vascular SAS</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Vascular Spain, S.L.</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LeMaitre Vascular S.r.l.</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Vascutech Acquisition LLC</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LeMaitre Vascular ULC</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LeMaitre Vascular Switzerland</w:t>
            </w:r>
          </w:p>
        </w:tc>
        <w:tc>
          <w:tcPr>
            <w:tcW w:w="1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GmbH</w:t>
            </w:r>
          </w:p>
        </w:tc>
        <w:tc>
          <w:tcPr>
            <w:tcW w:w="160" w:type="dxa"/>
            <w:vAlign w:val="bottom"/>
            <w:shd w:val="clear" w:color="auto" w:fill="CCEEFF"/>
          </w:tcPr>
          <w:p>
            <w:pPr>
              <w:spacing w:after="0"/>
              <w:rPr>
                <w:sz w:val="20"/>
                <w:szCs w:val="20"/>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40" w:type="dxa"/>
            <w:vAlign w:val="bottom"/>
            <w:shd w:val="clear" w:color="auto" w:fill="CCEEFF"/>
          </w:tcPr>
          <w:p>
            <w:pPr>
              <w:spacing w:after="0"/>
              <w:rPr>
                <w:sz w:val="20"/>
                <w:szCs w:val="20"/>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20"/>
                <w:szCs w:val="20"/>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LeMaitre Vascular AS</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Vascular Pty Ltd</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LeMaitre Medical Technology</w:t>
            </w:r>
          </w:p>
        </w:tc>
        <w:tc>
          <w:tcPr>
            <w:tcW w:w="1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(Shanghai) Co., Ltd</w:t>
            </w:r>
          </w:p>
        </w:tc>
        <w:tc>
          <w:tcPr>
            <w:tcW w:w="16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tcPr>
          <w:p>
            <w:pPr>
              <w:spacing w:after="0"/>
              <w:rPr>
                <w:sz w:val="20"/>
                <w:szCs w:val="20"/>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Same</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Vascular, Ltd</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Bio Nova Holdings Pty Ltd</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 Nova International Pty Ltd</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LeMaitre Cardial SAS</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Pte Ltd</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LeMaitre Ltd</w:t>
            </w:r>
          </w:p>
        </w:tc>
        <w:tc>
          <w:tcPr>
            <w:tcW w:w="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w:t>
            </w:r>
          </w:p>
        </w:tc>
        <w:tc>
          <w:tcPr>
            <w:tcW w:w="14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LeMaitre Co., Ltd</w:t>
            </w: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Same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28, 2025, with respect to the consolidated financial statements and internal control over financial reporting included in the Annual Report of LeMaitre Vascular, Inc. on Form 10-K for the year ended December 31, 2024. We consent to the incorporation by reference of said reports in the Registration Statements of LeMaitre Vascular, Inc. on Forms S-3 (File No. 333-195658) and on Forms S-8 (File No. 333-161361, File No. 333-205360 and File No. 333-281420).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W. LeMaitre, certify that:</w:t>
      </w:r>
    </w:p>
    <w:p>
      <w:pPr>
        <w:spacing w:after="0" w:line="225" w:lineRule="exact"/>
        <w:rPr>
          <w:sz w:val="20"/>
          <w:szCs w:val="20"/>
          <w:color w:val="auto"/>
        </w:rPr>
      </w:pPr>
    </w:p>
    <w:p>
      <w:pPr>
        <w:ind w:left="520" w:hanging="188"/>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LeMaitre Vascular,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20" w:firstLine="478"/>
        <w:spacing w:after="0" w:line="266" w:lineRule="auto"/>
        <w:tabs>
          <w:tab w:leader="none" w:pos="10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right="400" w:firstLine="478"/>
        <w:spacing w:after="0" w:line="266" w:lineRule="auto"/>
        <w:tabs>
          <w:tab w:leader="none" w:pos="102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540" w:firstLine="478"/>
        <w:spacing w:after="0" w:line="282" w:lineRule="auto"/>
        <w:tabs>
          <w:tab w:leader="none" w:pos="10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20" w:firstLine="478"/>
        <w:spacing w:after="0" w:line="266" w:lineRule="auto"/>
        <w:tabs>
          <w:tab w:leader="none" w:pos="102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760" w:firstLine="478"/>
        <w:spacing w:after="0" w:line="282" w:lineRule="auto"/>
        <w:tabs>
          <w:tab w:leader="none" w:pos="10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440" w:firstLine="478"/>
        <w:spacing w:after="0" w:line="282" w:lineRule="auto"/>
        <w:tabs>
          <w:tab w:leader="none" w:pos="102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8000"/>
        <w:spacing w:after="0"/>
        <w:tabs>
          <w:tab w:leader="none" w:pos="8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GEORGE W. LEMAITRE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George W. LeMaitre</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P. Pellegrino, Jr., certify that:</w:t>
      </w:r>
    </w:p>
    <w:p>
      <w:pPr>
        <w:spacing w:after="0" w:line="225" w:lineRule="exact"/>
        <w:rPr>
          <w:sz w:val="20"/>
          <w:szCs w:val="20"/>
          <w:color w:val="auto"/>
        </w:rPr>
      </w:pPr>
    </w:p>
    <w:p>
      <w:pPr>
        <w:ind w:left="520" w:hanging="188"/>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LeMaitre Vascular,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20" w:firstLine="478"/>
        <w:spacing w:after="0" w:line="266" w:lineRule="auto"/>
        <w:tabs>
          <w:tab w:leader="none" w:pos="10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right="400" w:firstLine="478"/>
        <w:spacing w:after="0" w:line="266" w:lineRule="auto"/>
        <w:tabs>
          <w:tab w:leader="none" w:pos="102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540" w:firstLine="478"/>
        <w:spacing w:after="0" w:line="282" w:lineRule="auto"/>
        <w:tabs>
          <w:tab w:leader="none" w:pos="10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20" w:firstLine="478"/>
        <w:spacing w:after="0" w:line="266" w:lineRule="auto"/>
        <w:tabs>
          <w:tab w:leader="none" w:pos="102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760" w:firstLine="478"/>
        <w:spacing w:after="0" w:line="282" w:lineRule="auto"/>
        <w:tabs>
          <w:tab w:leader="none" w:pos="10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440" w:firstLine="478"/>
        <w:spacing w:after="0" w:line="282" w:lineRule="auto"/>
        <w:tabs>
          <w:tab w:leader="none" w:pos="102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780"/>
        <w:spacing w:after="0"/>
        <w:tabs>
          <w:tab w:leader="none" w:pos="81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JOSEPH P. PELLEGRINO,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Joseph P. Pellegrino, Jr.</w:t>
      </w:r>
    </w:p>
    <w:p>
      <w:pPr>
        <w:spacing w:after="0" w:line="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LeMaitre Vascular, Inc. (the “Company”) on Form 10-K for the period ended December 31, 2024, as filed with the Securities and Exchange Commission on the date hereof (the “Report”), I, George W. LeMaitre, Chairman and Chief Executive Officer of the Company, certify, pursuant to 18 U.S.C. § 1350, as adopted pursuant to § 906 of the Sarbanes-Oxley Act of 2002, that:</w:t>
      </w:r>
    </w:p>
    <w:p>
      <w:pPr>
        <w:spacing w:after="0" w:line="176" w:lineRule="exact"/>
        <w:rPr>
          <w:sz w:val="20"/>
          <w:szCs w:val="20"/>
          <w:color w:val="auto"/>
        </w:rPr>
      </w:pPr>
    </w:p>
    <w:p>
      <w:pPr>
        <w:ind w:left="1080" w:hanging="26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This certification is being provided pursuant to 18 U.S.C. § 1350 and is not deemed to be a part of the Report, nor is it to deemed to be “filed” for any purpose whatsoever.</w:t>
      </w:r>
    </w:p>
    <w:p>
      <w:pPr>
        <w:spacing w:after="0" w:line="162"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GEORGE W. LEMAITRE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George W. LeMaitre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LeMaitre Vascular, Inc. (the “Company”) on Form 10-K for the period ended December 31, 2024, as filed with the Securities and Exchange Commission on the date hereof (the “Report”), I, Joseph P. Pellegrino, Jr., Chief Financial Officer of the Company, certify, pursuant to 18 U.S.C. § 1350, as adopted pursuant to § 906 of the Sarbanes-Oxley Act of 2002, that:</w:t>
      </w:r>
    </w:p>
    <w:p>
      <w:pPr>
        <w:spacing w:after="0" w:line="176" w:lineRule="exact"/>
        <w:rPr>
          <w:sz w:val="20"/>
          <w:szCs w:val="20"/>
          <w:color w:val="auto"/>
        </w:rPr>
      </w:pPr>
    </w:p>
    <w:p>
      <w:pPr>
        <w:ind w:left="1080" w:hanging="26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This certification is being provided pursuant to 18 U.S.C. § 1350 and is not deemed to be a part of the Report, nor is it to deemed to be “filed” for any purpose whatsoever.</w:t>
      </w:r>
    </w:p>
    <w:p>
      <w:pPr>
        <w:spacing w:after="0" w:line="162" w:lineRule="exact"/>
        <w:rPr>
          <w:sz w:val="20"/>
          <w:szCs w:val="20"/>
          <w:color w:val="auto"/>
        </w:rPr>
      </w:pPr>
    </w:p>
    <w:p>
      <w:pPr>
        <w:ind w:left="480"/>
        <w:spacing w:after="0"/>
        <w:tabs>
          <w:tab w:leader="none" w:pos="8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JOSEPH P. PELLEGRINO,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Joseph P. Pellegrino, Jr.</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as of November 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LeMaitre Vascular,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a Compensation Recovery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as described below.</w:t>
      </w:r>
    </w:p>
    <w:p>
      <w:pPr>
        <w:spacing w:after="0" w:line="221"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Nasdaq Stock Market LLC. Capitalized terms used and not otherwise defined herein shall have the meanings given in Section 3 below.</w:t>
      </w:r>
    </w:p>
    <w:p>
      <w:pPr>
        <w:spacing w:after="0" w:line="176"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Requirement</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the event the Company is required to prepare a Financial Restatement, the Company shall recover reasonably promptly all Erroneously Awarded Compensation with respect to such Financial Restatement.</w:t>
      </w:r>
    </w:p>
    <w:p>
      <w:pPr>
        <w:spacing w:after="0" w:line="158"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980" w:right="300" w:hanging="324"/>
        <w:spacing w:after="0" w:line="261"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Recovery Period</w:t>
      </w:r>
      <w:r>
        <w:rPr>
          <w:rFonts w:ascii="Times New Roman" w:cs="Times New Roman" w:eastAsia="Times New Roman" w:hAnsi="Times New Roman"/>
          <w:sz w:val="18"/>
          <w:szCs w:val="18"/>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9"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Rules</w:t>
      </w:r>
      <w:r>
        <w:rPr>
          <w:rFonts w:ascii="Times New Roman" w:cs="Times New Roman" w:eastAsia="Times New Roman" w:hAnsi="Times New Roman"/>
          <w:sz w:val="18"/>
          <w:szCs w:val="18"/>
          <w:color w:val="auto"/>
        </w:rPr>
        <w:t>” means any rules or regulations adopted by the Exchange pursuant to Rule 10D-1 under the Exchange Act and any applicable rules or regulations adopted by the SEC pursuant to Section 10D of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in the absence of such committee, a majority of independent directors serving on the Board.</w:t>
      </w:r>
    </w:p>
    <w:p>
      <w:pPr>
        <w:spacing w:after="0" w:line="161"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ind w:left="324" w:hanging="324"/>
        <w:spacing w:after="0" w:line="253"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any Incentive-Based Compensation received by a Covered Person on or after October 2, 2023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9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ind w:left="324" w:right="20" w:hanging="324"/>
        <w:spacing w:after="0" w:line="256"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214" w:lineRule="exact"/>
        <w:rPr>
          <w:rFonts w:ascii="Times New Roman" w:cs="Times New Roman" w:eastAsia="Times New Roman" w:hAnsi="Times New Roman"/>
          <w:sz w:val="18"/>
          <w:szCs w:val="18"/>
          <w:color w:val="auto"/>
        </w:rPr>
      </w:pPr>
    </w:p>
    <w:p>
      <w:pPr>
        <w:ind w:left="324" w:right="40" w:hanging="324"/>
        <w:spacing w:after="0" w:line="253" w:lineRule="auto"/>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Financial Reporting Measures include but are not limited to the following (and any measures derived from the following): Company stock price; total shareholder return (“TSR”); revenues; net income; operating income; profitability of one or more reportable segments; financial ratios (e.g., accounts receivable turnover and inventory turnover rates); earnings before interest, taxes, depreciation and amortization (“EBITDA”);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Exchange Commission.</w:t>
      </w:r>
    </w:p>
    <w:p>
      <w:pPr>
        <w:spacing w:after="0" w:line="19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05" w:name="page106"/>
    <w:bookmarkEnd w:id="105"/>
    <w:p>
      <w:pPr>
        <w:ind w:left="980" w:hanging="324"/>
        <w:spacing w:after="0" w:line="252"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provided, directly or indirectly, by the Company or any of its subsidiaries that is granted, earned, or vested based, in whole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 For the avoidance of doubt, Incentive-Based Compensation does not include awards that vest exclusively upon completion of a specified employment period, without any performance condition, and bonus awards that are discretionary or based on subjective goals or goals unrelated to Financial Reporting Measures, and does not include, without limitation: (1) salaries; (2) bonuses paid solely based on satisfaction of subjective standards, such as demonstrating leadership, and/or completion of a specified employment period; (3) non-equity incentive plan awards earned solely based on satisfaction of strategic or operational measures; (4) wholly time-based equity awards; and (5) discretionary bonuses or other compensation that is not paid from a bonus pool that is determined by satisfying a Financial Reporting Measure performance goal.</w:t>
      </w:r>
    </w:p>
    <w:p>
      <w:pPr>
        <w:spacing w:after="0" w:line="197"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Financial Restatement</w:t>
      </w:r>
      <w:r>
        <w:rPr>
          <w:rFonts w:ascii="Times New Roman" w:cs="Times New Roman" w:eastAsia="Times New Roman" w:hAnsi="Times New Roman"/>
          <w:sz w:val="18"/>
          <w:szCs w:val="18"/>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9"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means, with respect to a Financial Restatement, the earlier to occur of: (i) the date the Board or the Audit Committee of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 to Compensation Recovery Requirement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(ii) recovery would violate home country law where that law was adopted prior to October 2, 2023; or (iii) recovery would likely cause an otherwise tax-qualified retirement plan to fail to be so qualified under applicable regulations.</w:t>
      </w:r>
    </w:p>
    <w:p>
      <w:pPr>
        <w:spacing w:after="0" w:line="183"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6" w:name="page107"/>
    <w:bookmarkEnd w:id="106"/>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Compensation Recovery</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Committee shall determine, in its sole discretion, the method for recovering Erroneously Awarded Compensation hereunder, which may include, without limitation, any one or more of the following:</w:t>
      </w:r>
    </w:p>
    <w:p>
      <w:pPr>
        <w:spacing w:after="0" w:line="162" w:lineRule="exact"/>
        <w:rPr>
          <w:sz w:val="20"/>
          <w:szCs w:val="20"/>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rescinding some or all outstanding vested or unvested equity-based awards;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or withholding from unpaid compensation or other set-off;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offsetting against planned future grants of equity-based awards; and/or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 contract.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 In addition, to the extent the Covered Person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183"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Interpretation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Policy shall be interpreted in a manner that is consistent with the Applicable Rules and any other applicable law, and shall not limit any other compensation recovery or recoupment policy maintained by the Company.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83"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Administration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The Committee may amend this Policy from time to time in its discretion and shall amend this Policy as it deems necessary, including as and when it determines that it is legally required by Applicable Rules. The Committee may terminate this Policy at any time.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7" w:name="page108"/>
    <w:bookmarkEnd w:id="107"/>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Repayments not Subject to Indemnification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 To the extent any such agreement or organizational document purports to provide otherwise, the Covered Person hereby irrevocably agrees to forego such indemnification.</w:t>
      </w:r>
    </w:p>
    <w:p>
      <w:pPr>
        <w:spacing w:after="0" w:line="176"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Applicable Rules.</w:t>
      </w:r>
    </w:p>
    <w:p>
      <w:pPr>
        <w:spacing w:after="0" w:line="221"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Each Executive Officer shall sign and return to the Company the Acknowledgement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pursuant to which such Executive Officer agrees to be bound by, and to comply with, the terms and conditions of this Policy. For the avoidance of doubt, each Executive Officer will be fully bound by, and must comply with, the Policy, whether or not such Executive Officer has executed and returned such acknowledgement form to the Company.</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08" w:name="page109"/>
    <w:bookmarkEnd w:id="108"/>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LEMAITRE VASCULAR, INC.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LeMaitre Vascular, Inc. Compensation Recovery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Capitalized terms used but not otherwise defined in this Acknowledgement Form (this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shall have the meanings ascribed to such terms in the Policy.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120"/>
      </w:cols>
      <w:pgMar w:left="44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lvl w:ilvl="1">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12E685FB"/>
    <w:multiLevelType w:val="hybridMultilevel"/>
    <w:lvl w:ilvl="0">
      <w:lvlJc w:val="left"/>
      <w:lvlText w:val="%1"/>
      <w:numFmt w:val="decimal"/>
      <w:start w:val="104"/>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7"/>
    </w:lvl>
  </w:abstractNum>
  <w:abstractNum w:abstractNumId="35">
    <w:nsid w:val="649BB77C"/>
    <w:multiLevelType w:val="hybridMultilevel"/>
    <w:lvl w:ilvl="0">
      <w:lvlJc w:val="left"/>
      <w:lvlText w:val="%1."/>
      <w:numFmt w:val="decimal"/>
      <w:start w:val="8"/>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upperLetter"/>
      <w:start w:val="1"/>
    </w:lvl>
  </w:abstractNum>
  <w:abstractNum w:abstractNumId="38">
    <w:nsid w:val="1CF10FD8"/>
    <w:multiLevelType w:val="hybridMultilevel"/>
    <w:lvl w:ilvl="0">
      <w:lvlJc w:val="left"/>
      <w:lvlText w:val="%1."/>
      <w:numFmt w:val="upperLetter"/>
      <w:start w:val="2"/>
    </w:lvl>
  </w:abstractNum>
  <w:abstractNum w:abstractNumId="39">
    <w:nsid w:val="180115BE"/>
    <w:multiLevelType w:val="hybridMultilevel"/>
    <w:lvl w:ilvl="0">
      <w:lvlJc w:val="left"/>
      <w:lvlText w:val="%1"/>
      <w:numFmt w:val="decimal"/>
      <w:start w:val="1"/>
    </w:lvl>
    <w:lvl w:ilvl="1">
      <w:lvlJc w:val="left"/>
      <w:lvlText w:val="%2."/>
      <w:numFmt w:val="decimal"/>
      <w:start w:val="1"/>
    </w:lvl>
  </w:abstractNum>
  <w:abstractNum w:abstractNumId="40">
    <w:nsid w:val="235BA861"/>
    <w:multiLevelType w:val="hybridMultilevel"/>
    <w:lvl w:ilvl="0">
      <w:lvlJc w:val="left"/>
      <w:lvlText w:val="(%1)"/>
      <w:numFmt w:val="decimal"/>
      <w:start w:val="3"/>
    </w:lvl>
    <w:lvl w:ilvl="1">
      <w:lvlJc w:val="left"/>
      <w:lvlText w:val="%2."/>
      <w:numFmt w:val="decimal"/>
      <w:start w:val="3"/>
    </w:lvl>
  </w:abstractNum>
  <w:abstractNum w:abstractNumId="41">
    <w:nsid w:val="47398C89"/>
    <w:multiLevelType w:val="hybridMultilevel"/>
    <w:lvl w:ilvl="0">
      <w:lvlJc w:val="left"/>
      <w:lvlText w:val="%1."/>
      <w:numFmt w:val="decimal"/>
      <w:start w:val="8"/>
    </w:lvl>
  </w:abstractNum>
  <w:abstractNum w:abstractNumId="42">
    <w:nsid w:val="354FE9F9"/>
    <w:multiLevelType w:val="hybridMultilevel"/>
    <w:lvl w:ilvl="0">
      <w:lvlJc w:val="left"/>
      <w:lvlText w:val="%1."/>
      <w:numFmt w:val="upperLetter"/>
      <w:start w:val="3"/>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upperLetter"/>
      <w:start w:val="4"/>
    </w:lvl>
  </w:abstractNum>
  <w:abstractNum w:abstractNumId="45">
    <w:nsid w:val="D34B6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
    <w:nsid w:val="10233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7">
    <w:nsid w:val="3F6AB60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6157409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9">
    <w:nsid w:val="7E0C57B1"/>
    <w:multiLevelType w:val="hybridMultilevel"/>
    <w:lvl w:ilvl="0">
      <w:lvlJc w:val="left"/>
      <w:lvlText w:val="%1."/>
      <w:numFmt w:val="upperLetter"/>
      <w:start w:val="5"/>
    </w:lvl>
  </w:abstractNum>
  <w:abstractNum w:abstractNumId="50">
    <w:nsid w:val="77AE35EB"/>
    <w:multiLevelType w:val="hybridMultilevel"/>
    <w:lvl w:ilvl="0">
      <w:lvlJc w:val="left"/>
      <w:lvlText w:val="%1."/>
      <w:numFmt w:val="decimal"/>
      <w:start w:val="1"/>
    </w:lvl>
    <w:lvl w:ilvl="1">
      <w:lvlJc w:val="left"/>
      <w:lvlText w:val="●"/>
      <w:numFmt w:val="bullet"/>
      <w:start w:val="1"/>
    </w:lvl>
  </w:abstractNum>
  <w:abstractNum w:abstractNumId="51">
    <w:nsid w:val="579BE4F1"/>
    <w:multiLevelType w:val="hybridMultilevel"/>
    <w:lvl w:ilvl="0">
      <w:lvlJc w:val="left"/>
      <w:lvlText w:val="%1."/>
      <w:numFmt w:val="decimal"/>
      <w:start w:val="1"/>
    </w:lvl>
    <w:lvl w:ilvl="1">
      <w:lvlJc w:val="left"/>
      <w:lvlText w:val="●"/>
      <w:numFmt w:val="bullet"/>
      <w:start w:val="1"/>
    </w:lvl>
  </w:abstractNum>
  <w:abstractNum w:abstractNumId="52">
    <w:nsid w:val="310C50B3"/>
    <w:multiLevelType w:val="hybridMultilevel"/>
    <w:lvl w:ilvl="0">
      <w:lvlJc w:val="left"/>
      <w:lvlText w:val="%1."/>
      <w:numFmt w:val="upperLetter"/>
      <w:start w:val="6"/>
    </w:lvl>
  </w:abstractNum>
  <w:abstractNum w:abstractNumId="53">
    <w:nsid w:val="5FF87E05"/>
    <w:multiLevelType w:val="hybridMultilevel"/>
    <w:lvl w:ilvl="0">
      <w:lvlJc w:val="left"/>
      <w:lvlText w:val="%1."/>
      <w:numFmt w:val="upperLetter"/>
      <w:start w:val="7"/>
    </w:lvl>
  </w:abstractNum>
  <w:abstractNum w:abstractNumId="54">
    <w:nsid w:val="2F305DEF"/>
    <w:multiLevelType w:val="hybridMultilevel"/>
    <w:lvl w:ilvl="0">
      <w:lvlJc w:val="left"/>
      <w:lvlText w:val="%1."/>
      <w:numFmt w:val="upperLetter"/>
      <w:start w:val="8"/>
    </w:lvl>
  </w:abstractNum>
  <w:abstractNum w:abstractNumId="55">
    <w:nsid w:val="25A70BF7"/>
    <w:multiLevelType w:val="hybridMultilevel"/>
    <w:lvl w:ilvl="0">
      <w:lvlJc w:val="left"/>
      <w:lvlText w:val="%1."/>
      <w:numFmt w:val="upperLetter"/>
      <w:start w:val="1"/>
    </w:lvl>
  </w:abstractNum>
  <w:abstractNum w:abstractNumId="56">
    <w:nsid w:val="1DBABF00"/>
    <w:multiLevelType w:val="hybridMultilevel"/>
    <w:lvl w:ilvl="0">
      <w:lvlJc w:val="left"/>
      <w:lvlText w:val="%1."/>
      <w:numFmt w:val="upperLetter"/>
      <w:start w:val="2"/>
    </w:lvl>
  </w:abstractNum>
  <w:abstractNum w:abstractNumId="57">
    <w:nsid w:val="4AD084E9"/>
    <w:multiLevelType w:val="hybridMultilevel"/>
    <w:lvl w:ilvl="0">
      <w:lvlJc w:val="left"/>
      <w:lvlText w:val="%1."/>
      <w:numFmt w:val="decimal"/>
      <w:start w:val="1"/>
    </w:lvl>
    <w:lvl w:ilvl="1">
      <w:lvlJc w:val="left"/>
      <w:lvlText w:val="%2)"/>
      <w:numFmt w:val="lowerLetter"/>
      <w:start w:val="1"/>
    </w:lvl>
  </w:abstractNum>
  <w:abstractNum w:abstractNumId="58">
    <w:nsid w:val="1F48EAA1"/>
    <w:multiLevelType w:val="hybridMultilevel"/>
    <w:lvl w:ilvl="0">
      <w:lvlJc w:val="left"/>
      <w:lvlText w:val="%1."/>
      <w:numFmt w:val="decimal"/>
      <w:start w:val="1"/>
    </w:lvl>
    <w:lvl w:ilvl="1">
      <w:lvlJc w:val="left"/>
      <w:lvlText w:val="%2)"/>
      <w:numFmt w:val="lowerLetter"/>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2"/>
    </w:lvl>
  </w:abstractNum>
  <w:abstractNum w:abstractNumId="63">
    <w:nsid w:val="15014ACB"/>
    <w:multiLevelType w:val="hybridMultilevel"/>
    <w:lvl w:ilvl="0">
      <w:lvlJc w:val="left"/>
      <w:lvlText w:val="%1."/>
      <w:numFmt w:val="decimal"/>
      <w:start w:val="3"/>
    </w:lvl>
    <w:lvl w:ilvl="1">
      <w:lvlJc w:val="left"/>
      <w:lvlText w:val="%2."/>
      <w:numFmt w:val="lowerLetter"/>
      <w:start w:val="1"/>
    </w:lvl>
  </w:abstractNum>
  <w:abstractNum w:abstractNumId="64">
    <w:nsid w:val="5F5E7FD0"/>
    <w:multiLevelType w:val="hybridMultilevel"/>
    <w:lvl w:ilvl="0">
      <w:lvlJc w:val="left"/>
      <w:lvlText w:val="%1."/>
      <w:numFmt w:val="lowerLetter"/>
      <w:start w:val="6"/>
    </w:lvl>
  </w:abstractNum>
  <w:abstractNum w:abstractNumId="65">
    <w:nsid w:val="98A3148"/>
    <w:multiLevelType w:val="hybridMultilevel"/>
    <w:lvl w:ilvl="0">
      <w:lvlJc w:val="left"/>
      <w:lvlText w:val="%1"/>
      <w:numFmt w:val="decimal"/>
      <w:start w:val="1"/>
    </w:lvl>
    <w:lvl w:ilvl="1">
      <w:lvlJc w:val="left"/>
      <w:lvlText w:val="%2."/>
      <w:numFmt w:val="lowerLetter"/>
      <w:start w:val="10"/>
    </w:lvl>
  </w:abstractNum>
  <w:abstractNum w:abstractNumId="66">
    <w:nsid w:val="799D0247"/>
    <w:multiLevelType w:val="hybridMultilevel"/>
    <w:lvl w:ilvl="0">
      <w:lvlJc w:val="left"/>
      <w:lvlText w:val="%1."/>
      <w:numFmt w:val="decimal"/>
      <w:start w:val="4"/>
    </w:lvl>
    <w:lvl w:ilvl="1">
      <w:lvlJc w:val="left"/>
      <w:lvlText w:val="%2"/>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decimal"/>
      <w:start w:val="6"/>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decimal"/>
      <w:start w:val="7"/>
    </w:lvl>
  </w:abstractNum>
  <w:abstractNum w:abstractNumId="71">
    <w:nsid w:val="661E3F1E"/>
    <w:multiLevelType w:val="hybridMultilevel"/>
    <w:lvl w:ilvl="0">
      <w:lvlJc w:val="left"/>
      <w:lvlText w:val="%1."/>
      <w:numFmt w:val="decimal"/>
      <w:start w:val="8"/>
    </w:lvl>
  </w:abstractNum>
  <w:abstractNum w:abstractNumId="72">
    <w:nsid w:val="5DC79EA8"/>
    <w:multiLevelType w:val="hybridMultilevel"/>
    <w:lvl w:ilvl="0">
      <w:lvlJc w:val="left"/>
      <w:lvlText w:val="%1."/>
      <w:numFmt w:val="decimal"/>
      <w:start w:val="9"/>
    </w:lvl>
  </w:abstractNum>
  <w:abstractNum w:abstractNumId="73">
    <w:nsid w:val="540A471C"/>
    <w:multiLevelType w:val="hybridMultilevel"/>
    <w:lvl w:ilvl="0">
      <w:lvlJc w:val="left"/>
      <w:lvlText w:val="%1."/>
      <w:numFmt w:val="decimal"/>
      <w:start w:val="10"/>
    </w:lvl>
  </w:abstractNum>
  <w:abstractNum w:abstractNumId="74">
    <w:nsid w:val="7BD3EE7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81" Type="http://schemas.openxmlformats.org/officeDocument/2006/relationships/image" Target="media/image56.png"/><Relationship Id="rId98" Type="http://schemas.openxmlformats.org/officeDocument/2006/relationships/image" Target="media/image57.png"/><Relationship Id="rId112" Type="http://schemas.openxmlformats.org/officeDocument/2006/relationships/image" Target="media/image58.png"/><Relationship Id="rId113" Type="http://schemas.openxmlformats.org/officeDocument/2006/relationships/image" Target="media/image59.png"/><Relationship Id="rId114" Type="http://schemas.openxmlformats.org/officeDocument/2006/relationships/image" Target="media/image60.png"/><Relationship Id="rId115" Type="http://schemas.openxmlformats.org/officeDocument/2006/relationships/image" Target="media/image61.png"/><Relationship Id="rId116" Type="http://schemas.openxmlformats.org/officeDocument/2006/relationships/image" Target="media/image62.png"/><Relationship Id="rId117" Type="http://schemas.openxmlformats.org/officeDocument/2006/relationships/image" Target="media/image63.png"/><Relationship Id="rId118" Type="http://schemas.openxmlformats.org/officeDocument/2006/relationships/image" Target="media/image64.png"/><Relationship Id="rId119" Type="http://schemas.openxmlformats.org/officeDocument/2006/relationships/image" Target="media/image65.png"/><Relationship Id="rId120" Type="http://schemas.openxmlformats.org/officeDocument/2006/relationships/image" Target="media/image66.png"/><Relationship Id="rId121" Type="http://schemas.openxmlformats.org/officeDocument/2006/relationships/image" Target="media/image67.png"/><Relationship Id="rId122" Type="http://schemas.openxmlformats.org/officeDocument/2006/relationships/image" Target="media/image68.png"/><Relationship Id="rId123" Type="http://schemas.openxmlformats.org/officeDocument/2006/relationships/image" Target="media/image69.png"/><Relationship Id="rId124" Type="http://schemas.openxmlformats.org/officeDocument/2006/relationships/image" Target="media/image70.png"/><Relationship Id="rId125" Type="http://schemas.openxmlformats.org/officeDocument/2006/relationships/image" Target="media/image71.png"/><Relationship Id="rId126" Type="http://schemas.openxmlformats.org/officeDocument/2006/relationships/image" Target="media/image72.png"/><Relationship Id="rId127" Type="http://schemas.openxmlformats.org/officeDocument/2006/relationships/image" Target="media/image73.png"/><Relationship Id="rId128" Type="http://schemas.openxmlformats.org/officeDocument/2006/relationships/image" Target="media/image74.png"/><Relationship Id="rId129"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63" Type="http://schemas.openxmlformats.org/officeDocument/2006/relationships/hyperlink" Target="http://www.sec.gov/Archives/edgar/data/1158895/000143774920004836/ex_174767.htm" TargetMode="External"/><Relationship Id="rId64" Type="http://schemas.openxmlformats.org/officeDocument/2006/relationships/hyperlink" Target="http://www.sec.gov/Archives/edgar/data/1158895/000143774921021311/ex_280468.htm" TargetMode="External"/><Relationship Id="rId65" Type="http://schemas.openxmlformats.org/officeDocument/2006/relationships/hyperlink" Target="http://www.sec.gov/Archives/edgar/data/1158895/000143774920013776/ex_191327.htm" TargetMode="External"/><Relationship Id="rId66" Type="http://schemas.openxmlformats.org/officeDocument/2006/relationships/hyperlink" Target="http://www.sec.gov/Archives/edgar/data/1158895/000119312506120427/dex31.htm" TargetMode="External"/><Relationship Id="rId67" Type="http://schemas.openxmlformats.org/officeDocument/2006/relationships/hyperlink" Target="http://www.sec.gov/Archives/edgar/data/1158895/000119312510069986/dex32.htm" TargetMode="External"/><Relationship Id="rId68" Type="http://schemas.openxmlformats.org/officeDocument/2006/relationships/hyperlink" Target="http://www.sec.gov/Archives/edgar/data/1158895/000119312512272041/d367950dex33.htm" TargetMode="External"/><Relationship Id="rId69" Type="http://schemas.openxmlformats.org/officeDocument/2006/relationships/hyperlink" Target="http://www.sec.gov/Archives/edgar/data/1158895/000119312506133822/dex41.htm" TargetMode="External"/><Relationship Id="rId70" Type="http://schemas.openxmlformats.org/officeDocument/2006/relationships/hyperlink" Target="http://www.sec.gov/Archives/edgar/data/1158895/000143774920004836/ex_175403.htm" TargetMode="External"/><Relationship Id="rId71" Type="http://schemas.openxmlformats.org/officeDocument/2006/relationships/hyperlink" Target="http://www.sec.gov/Archives/edgar/data/1158895/000110465924130155/tm2431546d1_ex4-1.htm" TargetMode="External"/><Relationship Id="rId72" Type="http://schemas.openxmlformats.org/officeDocument/2006/relationships/hyperlink" Target="http://www.sec.gov/Archives/edgar/data/1158895/000143774921018762/ex_269369.htm" TargetMode="External"/><Relationship Id="rId73" Type="http://schemas.openxmlformats.org/officeDocument/2006/relationships/hyperlink" Target="http://www.sec.gov/Archives/edgar/data/1158895/000119312506120427/dex107.htm" TargetMode="External"/><Relationship Id="rId74" Type="http://schemas.openxmlformats.org/officeDocument/2006/relationships/hyperlink" Target="http://www.sec.gov/Archives/edgar/data/1158895/000119312509069450/dex1037.htm" TargetMode="External"/><Relationship Id="rId75" Type="http://schemas.openxmlformats.org/officeDocument/2006/relationships/hyperlink" Target="http://www.sec.gov/Archives/edgar/data/1158895/000119312506133822/dex1024.htm" TargetMode="External"/><Relationship Id="rId76" Type="http://schemas.openxmlformats.org/officeDocument/2006/relationships/hyperlink" Target="http://www.sec.gov/Archives/edgar/data/1158895/000119312509069450/dex1038.htm" TargetMode="External"/><Relationship Id="rId77" Type="http://schemas.openxmlformats.org/officeDocument/2006/relationships/hyperlink" Target="http://www.sec.gov/Archives/edgar/data/1158895/000119312506133822/dex1010.htm" TargetMode="External"/><Relationship Id="rId78" Type="http://schemas.openxmlformats.org/officeDocument/2006/relationships/hyperlink" Target="http://www.sec.gov/Archives/edgar/data/1158895/000119312509069450/dex1039.htm" TargetMode="External"/><Relationship Id="rId79" Type="http://schemas.openxmlformats.org/officeDocument/2006/relationships/hyperlink" Target="http://www.sec.gov/Archives/edgar/data/1158895/000143774925003679/ex_777529.htm" TargetMode="External"/><Relationship Id="rId80" Type="http://schemas.openxmlformats.org/officeDocument/2006/relationships/hyperlink" Target="http://www.sec.gov/Archives/edgar/data/1158895/000119312506120427/dex1017.htm" TargetMode="External"/><Relationship Id="rId82" Type="http://schemas.openxmlformats.org/officeDocument/2006/relationships/hyperlink" Target="http://www.sec.gov/Archives/edgar/data/1158895/000119312506088098/dex101.htm" TargetMode="External"/><Relationship Id="rId83" Type="http://schemas.openxmlformats.org/officeDocument/2006/relationships/hyperlink" Target="http://www.sec.gov/Archives/edgar/data/1158895/000118143107040369/rrd163076_20570.htm" TargetMode="External"/><Relationship Id="rId84" Type="http://schemas.openxmlformats.org/officeDocument/2006/relationships/hyperlink" Target="http://www.sec.gov/Archives/edgar/data/1158895/000118143108024625/rrd202737_23948.htm" TargetMode="External"/><Relationship Id="rId85" Type="http://schemas.openxmlformats.org/officeDocument/2006/relationships/hyperlink" Target="http://www.sec.gov/Archives/edgar/data/1158895/000119312509069450/dex1036.htm" TargetMode="External"/><Relationship Id="rId86" Type="http://schemas.openxmlformats.org/officeDocument/2006/relationships/hyperlink" Target="http://www.sec.gov/Archives/edgar/data/1158895/000119312510069986/dex1033.htm" TargetMode="External"/><Relationship Id="rId87" Type="http://schemas.openxmlformats.org/officeDocument/2006/relationships/hyperlink" Target="http://www.sec.gov/Archives/edgar/data/1158895/000119312513481928/d648859dex103.htm" TargetMode="External"/><Relationship Id="rId88" Type="http://schemas.openxmlformats.org/officeDocument/2006/relationships/hyperlink" Target="http://www.sec.gov/Archives/edgar/data/1158895/000143774919021288/ex_162359.htm" TargetMode="External"/><Relationship Id="rId89" Type="http://schemas.openxmlformats.org/officeDocument/2006/relationships/hyperlink" Target="http://www.sec.gov/Archives/edgar/data/1158895/000143774923030613/ex_590160.htm" TargetMode="External"/><Relationship Id="rId90" Type="http://schemas.openxmlformats.org/officeDocument/2006/relationships/hyperlink" Target="http://www.sec.gov/Archives/edgar/data/1158895/000119312510069986/dex1034.htm" TargetMode="External"/><Relationship Id="rId91" Type="http://schemas.openxmlformats.org/officeDocument/2006/relationships/hyperlink" Target="http://www.sec.gov/Archives/edgar/data/1158895/000119312512133838/d263538dex1028.htm" TargetMode="External"/><Relationship Id="rId92" Type="http://schemas.openxmlformats.org/officeDocument/2006/relationships/hyperlink" Target="http://www.sec.gov/Archives/edgar/data/1158895/000119312512133838/d263538dex1029.htm" TargetMode="External"/><Relationship Id="rId93" Type="http://schemas.openxmlformats.org/officeDocument/2006/relationships/hyperlink" Target="http://www.sec.gov/Archives/edgar/data/1158895/000119312513129404/d444633dex1026.htm" TargetMode="External"/><Relationship Id="rId94" Type="http://schemas.openxmlformats.org/officeDocument/2006/relationships/hyperlink" Target="http://www.sec.gov/Archives/edgar/data/1158895/000119312513481928/d648859dex102.htm" TargetMode="External"/><Relationship Id="rId95" Type="http://schemas.openxmlformats.org/officeDocument/2006/relationships/hyperlink" Target="http://www.sec.gov/Archives/edgar/data/1158895/000143774919021288/ex_162358.htm" TargetMode="External"/><Relationship Id="rId96" Type="http://schemas.openxmlformats.org/officeDocument/2006/relationships/hyperlink" Target="http://www.sec.gov/Archives/edgar/data/1158895/000143774923030613/ex_590159.htm" TargetMode="External"/><Relationship Id="rId97" Type="http://schemas.openxmlformats.org/officeDocument/2006/relationships/hyperlink" Target="http://www.sec.gov/Archives/edgar/data/1158895/000119312513481928/d648859dex101.htm" TargetMode="External"/><Relationship Id="rId99" Type="http://schemas.openxmlformats.org/officeDocument/2006/relationships/hyperlink" Target="http://www.sec.gov/Archives/edgar/data/1158895/000143774919021288/ex_162357.htm" TargetMode="External"/><Relationship Id="rId100" Type="http://schemas.openxmlformats.org/officeDocument/2006/relationships/hyperlink" Target="http://www.sec.gov/Archives/edgar/data/1158895/000143774923030613/ex_590158.htm" TargetMode="External"/><Relationship Id="rId101" Type="http://schemas.openxmlformats.org/officeDocument/2006/relationships/hyperlink" Target="http://www.sec.gov/Archives/edgar/data/1158895/000143774919023762/ex_166228.htm" TargetMode="External"/><Relationship Id="rId102" Type="http://schemas.openxmlformats.org/officeDocument/2006/relationships/hyperlink" Target="http://www.sec.gov/Archives/edgar/data/1158895/000143774923030613/ex_590157.htm" TargetMode="External"/><Relationship Id="rId103" Type="http://schemas.openxmlformats.org/officeDocument/2006/relationships/hyperlink" Target="http://www.sec.gov/Archives/edgar/data/1158895/000119312514067309/d682056dex101.htm" TargetMode="External"/><Relationship Id="rId104" Type="http://schemas.openxmlformats.org/officeDocument/2006/relationships/hyperlink" Target="http://www.sec.gov/Archives/edgar/data/1158895/000143774924019032/ex_683041.htm" TargetMode="External"/><Relationship Id="rId105" Type="http://schemas.openxmlformats.org/officeDocument/2006/relationships/hyperlink" Target="http://www.sec.gov/Archives/edgar/data/1158895/000119312518076905/d517085dex1025.htm" TargetMode="External"/><Relationship Id="rId106" Type="http://schemas.openxmlformats.org/officeDocument/2006/relationships/hyperlink" Target="http://www.sec.gov/Archives/edgar/data/1158895/000119312518076905/d517085dex1026.htm" TargetMode="External"/><Relationship Id="rId107" Type="http://schemas.openxmlformats.org/officeDocument/2006/relationships/hyperlink" Target="http://www.sec.gov/Archives/edgar/data/1158895/000119312518076905/d517085dex1027.htm" TargetMode="External"/><Relationship Id="rId108" Type="http://schemas.openxmlformats.org/officeDocument/2006/relationships/hyperlink" Target="http://www.sec.gov/Archives/edgar/data/1158895/000119312518076905/d517085dex1028.htm" TargetMode="External"/><Relationship Id="rId109" Type="http://schemas.openxmlformats.org/officeDocument/2006/relationships/hyperlink" Target="http://www.sec.gov/Archives/edgar/data/1158895/000143774920004836/ex_174768.htm" TargetMode="External"/><Relationship Id="rId110" Type="http://schemas.openxmlformats.org/officeDocument/2006/relationships/hyperlink" Target="http://www.sec.gov/Archives/edgar/data/1158895/000143774921016726/ex_262534.htm" TargetMode="External"/><Relationship Id="rId111" Type="http://schemas.openxmlformats.org/officeDocument/2006/relationships/hyperlink" Target="http://www.sec.gov/Archives/edgar/data/1158895/000143774922004662/ex_3382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2025-02-28T12:21:37Z</dcterms:created>
  <dcterms:modified xsi:type="dcterms:W3CDTF">2025-02-28T12:21:37Z</dcterms:modified>
</cp:coreProperties>
</file>