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LeMaitre Vascular,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Arial" w:cs="Arial" w:eastAsia="Arial" w:hAnsi="Arial"/>
                <w:sz w:val="18"/>
                <w:szCs w:val="18"/>
                <w:b w:val="1"/>
                <w:bCs w:val="1"/>
                <w:color w:val="auto"/>
              </w:rPr>
              <w:t>Commission File Number: 001-33092</w:t>
            </w:r>
          </w:p>
        </w:tc>
      </w:tr>
      <w:tr>
        <w:trPr>
          <w:trHeight w:val="414"/>
        </w:trPr>
        <w:tc>
          <w:tcPr>
            <w:tcW w:w="2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center"/>
              <w:ind w:left="3670"/>
              <w:spacing w:after="0"/>
              <w:rPr>
                <w:sz w:val="20"/>
                <w:szCs w:val="20"/>
                <w:color w:val="auto"/>
              </w:rPr>
            </w:pPr>
            <w:r>
              <w:rPr>
                <w:rFonts w:ascii="Arial" w:cs="Arial" w:eastAsia="Arial" w:hAnsi="Arial"/>
                <w:sz w:val="18"/>
                <w:szCs w:val="18"/>
                <w:b w:val="1"/>
                <w:bCs w:val="1"/>
                <w:color w:val="auto"/>
                <w:w w:val="89"/>
              </w:rPr>
              <w:t>04-2825458</w:t>
            </w:r>
          </w:p>
        </w:tc>
      </w:tr>
      <w:tr>
        <w:trPr>
          <w:trHeight w:val="216"/>
        </w:trPr>
        <w:tc>
          <w:tcPr>
            <w:tcW w:w="2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(State or other jurisdiction of</w:t>
            </w:r>
          </w:p>
        </w:tc>
        <w:tc>
          <w:tcPr>
            <w:tcW w:w="5180" w:type="dxa"/>
            <w:vAlign w:val="bottom"/>
          </w:tcPr>
          <w:p>
            <w:pPr>
              <w:jc w:val="center"/>
              <w:ind w:left="3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incorporation)</w:t>
            </w:r>
          </w:p>
        </w:tc>
        <w:tc>
          <w:tcPr>
            <w:tcW w:w="5180" w:type="dxa"/>
            <w:vAlign w:val="bottom"/>
          </w:tcPr>
          <w:p>
            <w:pPr>
              <w:jc w:val="center"/>
              <w:ind w:left="36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 Second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781-221-2266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checkmark whether the company is an emerging growth company as defined in Rule 405 of the Securities Act of 1933 (230.405 of this chapter) or Rule 12b-2 of the Securities Exchange Act of 1934 (240.12c-2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360" w:type="dxa"/>
            <w:vAlign w:val="bottom"/>
            <w:tcBorders>
              <w:right w:val="single" w:sz="8" w:color="auto"/>
            </w:tcBorders>
          </w:tcPr>
          <w:p>
            <w:pPr>
              <w:spacing w:after="0"/>
              <w:rPr>
                <w:sz w:val="23"/>
                <w:szCs w:val="23"/>
                <w:color w:val="auto"/>
              </w:rPr>
            </w:pP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exchange on which registered</w:t>
            </w:r>
          </w:p>
        </w:tc>
        <w:tc>
          <w:tcPr>
            <w:tcW w:w="320" w:type="dxa"/>
            <w:vAlign w:val="bottom"/>
          </w:tcPr>
          <w:p>
            <w:pPr>
              <w:spacing w:after="0"/>
              <w:rPr>
                <w:sz w:val="23"/>
                <w:szCs w:val="23"/>
                <w:color w:val="auto"/>
              </w:rPr>
            </w:pPr>
          </w:p>
        </w:tc>
      </w:tr>
      <w:tr>
        <w:trPr>
          <w:trHeight w:val="180"/>
        </w:trPr>
        <w:tc>
          <w:tcPr>
            <w:tcW w:w="360" w:type="dxa"/>
            <w:vAlign w:val="bottom"/>
            <w:tcBorders>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8"/>
                <w:szCs w:val="18"/>
                <w:color w:val="auto"/>
                <w:w w:val="89"/>
              </w:rPr>
              <w:t>Common stock, $0.01 par value per share</w:t>
            </w:r>
          </w:p>
        </w:tc>
        <w:tc>
          <w:tcPr>
            <w:tcW w:w="27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8"/>
                <w:szCs w:val="18"/>
                <w:color w:val="auto"/>
                <w:w w:val="99"/>
              </w:rPr>
              <w:t>LMAT</w:t>
            </w:r>
          </w:p>
        </w:tc>
        <w:tc>
          <w:tcPr>
            <w:tcW w:w="412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8"/>
                <w:szCs w:val="18"/>
                <w:color w:val="auto"/>
                <w:w w:val="91"/>
              </w:rPr>
              <w:t>The Nasdaq Global Market</w:t>
            </w:r>
          </w:p>
        </w:tc>
        <w:tc>
          <w:tcPr>
            <w:tcW w:w="320" w:type="dxa"/>
            <w:vAlign w:val="bottom"/>
          </w:tcPr>
          <w:p>
            <w:pPr>
              <w:spacing w:after="0"/>
              <w:rPr>
                <w:sz w:val="15"/>
                <w:szCs w:val="15"/>
                <w:color w:val="auto"/>
              </w:rPr>
            </w:pPr>
          </w:p>
        </w:tc>
      </w:tr>
      <w:tr>
        <w:trPr>
          <w:trHeight w:val="571"/>
        </w:trPr>
        <w:tc>
          <w:tcPr>
            <w:tcW w:w="3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0" w:firstLine="450"/>
        <w:spacing w:after="0" w:line="277" w:lineRule="auto"/>
        <w:rPr>
          <w:sz w:val="20"/>
          <w:szCs w:val="20"/>
          <w:color w:val="auto"/>
        </w:rPr>
      </w:pPr>
      <w:r>
        <w:rPr>
          <w:rFonts w:ascii="Arial" w:cs="Arial" w:eastAsia="Arial" w:hAnsi="Arial"/>
          <w:sz w:val="18"/>
          <w:szCs w:val="18"/>
          <w:color w:val="auto"/>
        </w:rPr>
        <w:t>On July 29, 2021, LeMaitre Vascular, Inc. (the “Company”) issued a press release regarding its preliminary financial and operational results for the quarter ended June 30, 2021. A copy of the press release is furnished as Exhibit 99.1 to this Report.</w:t>
      </w:r>
    </w:p>
    <w:p>
      <w:pPr>
        <w:spacing w:after="0" w:line="170"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The information in this Item 2.02, including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furnished or filed as part of this Report, as applicable: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r>
      <w:tr>
        <w:trPr>
          <w:trHeight w:val="372"/>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24"/>
                <w:szCs w:val="24"/>
                <w:color w:val="auto"/>
              </w:rPr>
            </w:pPr>
          </w:p>
        </w:tc>
        <w:tc>
          <w:tcPr>
            <w:tcW w:w="9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issued by LeMaitre Vascular, Inc. on July 29, 2021.</w:t>
              </w:r>
            </w:hyperlink>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14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No.</w:t>
            </w:r>
          </w:p>
        </w:tc>
        <w:tc>
          <w:tcPr>
            <w:tcW w:w="10140" w:type="dxa"/>
            <w:vAlign w:val="bottom"/>
          </w:tcPr>
          <w:p>
            <w:pPr>
              <w:ind w:left="260"/>
              <w:spacing w:after="0"/>
              <w:rPr>
                <w:sz w:val="20"/>
                <w:szCs w:val="20"/>
                <w:color w:val="auto"/>
              </w:rPr>
            </w:pPr>
            <w:r>
              <w:rPr>
                <w:rFonts w:ascii="Arial" w:cs="Arial" w:eastAsia="Arial" w:hAnsi="Arial"/>
                <w:sz w:val="18"/>
                <w:szCs w:val="18"/>
                <w:color w:val="auto"/>
              </w:rPr>
              <w:t>Description</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99.1</w:t>
            </w:r>
          </w:p>
        </w:tc>
        <w:tc>
          <w:tcPr>
            <w:tcW w:w="10140" w:type="dxa"/>
            <w:vAlign w:val="bottom"/>
          </w:tcPr>
          <w:p>
            <w:pPr>
              <w:ind w:left="260"/>
              <w:spacing w:after="0"/>
              <w:rPr>
                <w:sz w:val="20"/>
                <w:szCs w:val="20"/>
                <w:color w:val="auto"/>
              </w:rPr>
            </w:pPr>
            <w:r>
              <w:rPr>
                <w:rFonts w:ascii="Arial" w:cs="Arial" w:eastAsia="Arial" w:hAnsi="Arial"/>
                <w:sz w:val="18"/>
                <w:szCs w:val="18"/>
                <w:color w:val="auto"/>
              </w:rPr>
              <w:t>Press release issued by LeMaitre Vascular, Inc. on July 29, 2021.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10140" w:type="dxa"/>
            <w:vAlign w:val="bottom"/>
          </w:tcPr>
          <w:p>
            <w:pPr>
              <w:ind w:left="2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LeMaitre Vascular, Inc.</w:t>
            </w:r>
          </w:p>
        </w:tc>
      </w:tr>
      <w:tr>
        <w:trPr>
          <w:trHeight w:val="634"/>
        </w:trPr>
        <w:tc>
          <w:tcPr>
            <w:tcW w:w="3960" w:type="dxa"/>
            <w:vAlign w:val="bottom"/>
          </w:tcPr>
          <w:p>
            <w:pPr>
              <w:spacing w:after="0"/>
              <w:rPr>
                <w:sz w:val="20"/>
                <w:szCs w:val="20"/>
                <w:color w:val="auto"/>
              </w:rPr>
            </w:pPr>
            <w:r>
              <w:rPr>
                <w:rFonts w:ascii="Arial" w:cs="Arial" w:eastAsia="Arial" w:hAnsi="Arial"/>
                <w:sz w:val="18"/>
                <w:szCs w:val="18"/>
                <w:color w:val="auto"/>
              </w:rPr>
              <w:t>Date: July 29, 2021</w:t>
            </w:r>
          </w:p>
        </w:tc>
        <w:tc>
          <w:tcPr>
            <w:tcW w:w="5840" w:type="dxa"/>
            <w:vAlign w:val="bottom"/>
            <w:gridSpan w:val="2"/>
          </w:tcPr>
          <w:p>
            <w:pPr>
              <w:ind w:left="2540"/>
              <w:spacing w:after="0"/>
              <w:rPr>
                <w:sz w:val="20"/>
                <w:szCs w:val="20"/>
                <w:color w:val="auto"/>
              </w:rPr>
            </w:pPr>
            <w:r>
              <w:rPr>
                <w:rFonts w:ascii="Arial" w:cs="Arial" w:eastAsia="Arial" w:hAnsi="Arial"/>
                <w:sz w:val="18"/>
                <w:szCs w:val="18"/>
                <w:color w:val="auto"/>
              </w:rPr>
              <w:t>By:   Joseph P. Pellegrino, Jr.</w:t>
            </w:r>
          </w:p>
        </w:tc>
      </w:tr>
      <w:tr>
        <w:trPr>
          <w:trHeight w:val="190"/>
        </w:trPr>
        <w:tc>
          <w:tcPr>
            <w:tcW w:w="39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8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8"/>
              </w:rPr>
              <w:t>/s/   JOSEPH P. PELLEGRINO, JR.</w:t>
            </w:r>
          </w:p>
        </w:tc>
      </w:tr>
      <w:tr>
        <w:trPr>
          <w:trHeight w:val="218"/>
        </w:trPr>
        <w:tc>
          <w:tcPr>
            <w:tcW w:w="39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Joseph P. Pellegrino, Jr.</w:t>
            </w:r>
          </w:p>
        </w:tc>
      </w:tr>
      <w:tr>
        <w:trPr>
          <w:trHeight w:val="234"/>
        </w:trPr>
        <w:tc>
          <w:tcPr>
            <w:tcW w:w="39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bl>
    <w:p>
      <w:pPr>
        <w:sectPr>
          <w:pgSz w:w="11900" w:h="16838" w:orient="portrait"/>
          <w:cols w:equalWidth="0" w:num="1">
            <w:col w:w="10740"/>
          </w:cols>
          <w:pgMar w:left="320" w:top="580"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LeMaitre Q2 2021 Financial Results</w:t>
      </w:r>
    </w:p>
    <w:p>
      <w:pPr>
        <w:spacing w:after="0" w:line="249"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BURLINGTON, MA, July 29, 2021 - LeMaitre (Nasdaq:LMAT), a provider of vascular devices, implants and services, today reported Q2 2021 results, announced an $0.11/share quarterly dividend and provided guidance.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Q2 2021 Financial Results</w:t>
      </w:r>
    </w:p>
    <w:p>
      <w:pPr>
        <w:spacing w:after="0" w:line="24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of $40.7mm, +64% (+35% organic) vs. Q2 2020</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 income of $11.1mm, +128%</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 margin of 27%</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$8.3mm, +137%</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of $0.40 per diluted share, +131%</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of $13.3mm, +108%</w:t>
      </w:r>
    </w:p>
    <w:p>
      <w:pPr>
        <w:spacing w:after="0" w:line="272" w:lineRule="exact"/>
        <w:rPr>
          <w:sz w:val="20"/>
          <w:szCs w:val="20"/>
          <w:color w:val="auto"/>
        </w:rPr>
      </w:pPr>
    </w:p>
    <w:p>
      <w:pPr>
        <w:ind w:right="640"/>
        <w:spacing w:after="0" w:line="250" w:lineRule="auto"/>
        <w:rPr>
          <w:sz w:val="20"/>
          <w:szCs w:val="20"/>
          <w:color w:val="auto"/>
        </w:rPr>
      </w:pPr>
      <w:r>
        <w:rPr>
          <w:rFonts w:ascii="Arial" w:cs="Arial" w:eastAsia="Arial" w:hAnsi="Arial"/>
          <w:sz w:val="22"/>
          <w:szCs w:val="22"/>
          <w:color w:val="auto"/>
        </w:rPr>
        <w:t>Q2 2021 sales were driven by Artegraft ($6.7mm), valvulotomes, carotid shunts, patches and allografts. By geography, the Americas was up 83%, Europe/Middle East/Africa +36% and Asia/Pac +30%.</w:t>
      </w:r>
    </w:p>
    <w:p>
      <w:pPr>
        <w:spacing w:after="0" w:line="202"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The gross margin decline to 65.8% (vs. 68.5% in Q2 2020) was driven by changes in product mix, manufacturing inefficiencies from 2020 personnel reductions, and inventory write-downs.</w:t>
      </w:r>
    </w:p>
    <w:p>
      <w:pPr>
        <w:spacing w:after="0" w:line="202"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Q2 2021 op. income increased 128% to $11.1mm in Q2 2021, more than 1/3 of which was contributed by Artegraft. Op. income was also up due to restrained headcount growth.</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On July 16 2021, the Company completed a $54.5mm follow-on public stock offering. $23.0mm of the net proceeds were used to repay long-term debt, with the remainder to be used for general corporate purposes.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George LeMaitre, Chairman and CEO, said, “The addition of Artegraft and restrained op. expenses increased profits 128%.”</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Item</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Q3 2021 Guidance</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Q4 2021 Guidance</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FY 2021 Guidance</w:t>
            </w: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Sales</w:t>
            </w:r>
          </w:p>
        </w:tc>
        <w:tc>
          <w:tcPr>
            <w:tcW w:w="2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$38.3mm - $40.3mm</w:t>
            </w:r>
          </w:p>
        </w:tc>
        <w:tc>
          <w:tcPr>
            <w:tcW w:w="2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$39.3mm - $41.3mm</w:t>
            </w:r>
          </w:p>
        </w:tc>
        <w:tc>
          <w:tcPr>
            <w:tcW w:w="2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$154.1mm - $158.1mm</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(Midpoint: $39.3, +8%)</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(Midpoint: $40.3, +7%)</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(Midpoint: $156.1, +21%)</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vMerge w:val="continue"/>
          </w:tcPr>
          <w:p>
            <w:pPr>
              <w:spacing w:after="0"/>
              <w:rPr>
                <w:sz w:val="9"/>
                <w:szCs w:val="9"/>
                <w:color w:val="auto"/>
              </w:rPr>
            </w:pPr>
          </w:p>
        </w:tc>
        <w:tc>
          <w:tcPr>
            <w:tcW w:w="2840" w:type="dxa"/>
            <w:vAlign w:val="bottom"/>
            <w:tcBorders>
              <w:bottom w:val="single" w:sz="8" w:color="auto"/>
              <w:right w:val="single" w:sz="8" w:color="auto"/>
            </w:tcBorders>
            <w:vMerge w:val="continue"/>
          </w:tcPr>
          <w:p>
            <w:pPr>
              <w:spacing w:after="0"/>
              <w:rPr>
                <w:sz w:val="9"/>
                <w:szCs w:val="9"/>
                <w:color w:val="auto"/>
              </w:rPr>
            </w:pPr>
          </w:p>
        </w:tc>
        <w:tc>
          <w:tcPr>
            <w:tcW w:w="27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Gross Margin</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66.6%</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67.5%</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66.6%</w:t>
            </w: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Op. Income</w:t>
            </w:r>
          </w:p>
        </w:tc>
        <w:tc>
          <w:tcPr>
            <w:tcW w:w="2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$9.3mm - $10.6mm</w:t>
            </w:r>
          </w:p>
        </w:tc>
        <w:tc>
          <w:tcPr>
            <w:tcW w:w="2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$9.3mm - $10.7mm</w:t>
            </w:r>
          </w:p>
        </w:tc>
        <w:tc>
          <w:tcPr>
            <w:tcW w:w="2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$37.7mm - $40.4mm</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(Midpoint: $10.0mm, -1%)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(Midpoint: $10.0mm, +5%)</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(Midpoint: $39.0mm, +36%)</w:t>
            </w:r>
          </w:p>
        </w:tc>
        <w:tc>
          <w:tcPr>
            <w:tcW w:w="0" w:type="dxa"/>
            <w:vAlign w:val="bottom"/>
          </w:tcPr>
          <w:p>
            <w:pPr>
              <w:spacing w:after="0"/>
              <w:rPr>
                <w:sz w:val="1"/>
                <w:szCs w:val="1"/>
                <w:color w:val="auto"/>
              </w:rPr>
            </w:pPr>
          </w:p>
        </w:tc>
      </w:tr>
      <w:tr>
        <w:trPr>
          <w:trHeight w:val="125"/>
        </w:trPr>
        <w:tc>
          <w:tcPr>
            <w:tcW w:w="2840" w:type="dxa"/>
            <w:vAlign w:val="bottom"/>
            <w:tcBorders>
              <w:left w:val="single" w:sz="8" w:color="auto"/>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vMerge w:val="continue"/>
          </w:tcPr>
          <w:p>
            <w:pPr>
              <w:spacing w:after="0"/>
              <w:rPr>
                <w:sz w:val="10"/>
                <w:szCs w:val="10"/>
                <w:color w:val="auto"/>
              </w:rPr>
            </w:pPr>
          </w:p>
        </w:tc>
        <w:tc>
          <w:tcPr>
            <w:tcW w:w="2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84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EPS</w:t>
            </w:r>
          </w:p>
        </w:tc>
        <w:tc>
          <w:tcPr>
            <w:tcW w:w="28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$0.30 - $0.35</w:t>
            </w:r>
          </w:p>
        </w:tc>
        <w:tc>
          <w:tcPr>
            <w:tcW w:w="28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$0.33 - $0.38</w:t>
            </w:r>
          </w:p>
        </w:tc>
        <w:tc>
          <w:tcPr>
            <w:tcW w:w="27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$1.30 - $1.40</w:t>
            </w:r>
          </w:p>
        </w:tc>
        <w:tc>
          <w:tcPr>
            <w:tcW w:w="0" w:type="dxa"/>
            <w:vAlign w:val="bottom"/>
          </w:tcPr>
          <w:p>
            <w:pPr>
              <w:spacing w:after="0"/>
              <w:rPr>
                <w:sz w:val="1"/>
                <w:szCs w:val="1"/>
                <w:color w:val="auto"/>
              </w:rPr>
            </w:pPr>
          </w:p>
        </w:tc>
      </w:tr>
      <w:tr>
        <w:trPr>
          <w:trHeight w:val="122"/>
        </w:trPr>
        <w:tc>
          <w:tcPr>
            <w:tcW w:w="2840" w:type="dxa"/>
            <w:vAlign w:val="bottom"/>
            <w:tcBorders>
              <w:left w:val="single" w:sz="8" w:color="auto"/>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(Midpoint: $0.33, -11%)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(Midpoint: $0.35, +4%)</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(Midpoint: $1.35, +30%)</w:t>
            </w:r>
          </w:p>
        </w:tc>
        <w:tc>
          <w:tcPr>
            <w:tcW w:w="0" w:type="dxa"/>
            <w:vAlign w:val="bottom"/>
          </w:tcPr>
          <w:p>
            <w:pPr>
              <w:spacing w:after="0"/>
              <w:rPr>
                <w:sz w:val="1"/>
                <w:szCs w:val="1"/>
                <w:color w:val="auto"/>
              </w:rPr>
            </w:pPr>
          </w:p>
        </w:tc>
      </w:tr>
      <w:tr>
        <w:trPr>
          <w:trHeight w:val="105"/>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vMerge w:val="continue"/>
          </w:tcPr>
          <w:p>
            <w:pPr>
              <w:spacing w:after="0"/>
              <w:rPr>
                <w:sz w:val="9"/>
                <w:szCs w:val="9"/>
                <w:color w:val="auto"/>
              </w:rPr>
            </w:pPr>
          </w:p>
        </w:tc>
        <w:tc>
          <w:tcPr>
            <w:tcW w:w="2840" w:type="dxa"/>
            <w:vAlign w:val="bottom"/>
            <w:tcBorders>
              <w:bottom w:val="single" w:sz="8" w:color="auto"/>
              <w:right w:val="single" w:sz="8" w:color="auto"/>
            </w:tcBorders>
            <w:vMerge w:val="continue"/>
          </w:tcPr>
          <w:p>
            <w:pPr>
              <w:spacing w:after="0"/>
              <w:rPr>
                <w:sz w:val="9"/>
                <w:szCs w:val="9"/>
                <w:color w:val="auto"/>
              </w:rPr>
            </w:pPr>
          </w:p>
        </w:tc>
        <w:tc>
          <w:tcPr>
            <w:tcW w:w="27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Quarterly Dividend</w:t>
      </w:r>
    </w:p>
    <w:p>
      <w:pPr>
        <w:spacing w:after="0" w:line="239" w:lineRule="exact"/>
        <w:rPr>
          <w:sz w:val="20"/>
          <w:szCs w:val="20"/>
          <w:color w:val="auto"/>
        </w:rPr>
      </w:pPr>
    </w:p>
    <w:p>
      <w:pPr>
        <w:ind w:right="760"/>
        <w:spacing w:after="0" w:line="274" w:lineRule="auto"/>
        <w:rPr>
          <w:sz w:val="20"/>
          <w:szCs w:val="20"/>
          <w:color w:val="auto"/>
        </w:rPr>
      </w:pPr>
      <w:r>
        <w:rPr>
          <w:rFonts w:ascii="Arial" w:cs="Arial" w:eastAsia="Arial" w:hAnsi="Arial"/>
          <w:sz w:val="21"/>
          <w:szCs w:val="21"/>
          <w:color w:val="auto"/>
        </w:rPr>
        <w:t>On July 22, 2021, the Company's Board of Directors approved a quarterly dividend of $0.11/share of common stock. The dividend will be paid on September 9, 2021 to shareholders of record on August 26,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Reminder</w:t>
      </w:r>
    </w:p>
    <w:p>
      <w:pPr>
        <w:spacing w:after="0" w:line="239" w:lineRule="exact"/>
        <w:rPr>
          <w:sz w:val="20"/>
          <w:szCs w:val="20"/>
          <w:color w:val="auto"/>
        </w:rPr>
      </w:pPr>
    </w:p>
    <w:p>
      <w:pPr>
        <w:ind w:right="440"/>
        <w:spacing w:after="0" w:line="287" w:lineRule="auto"/>
        <w:rPr>
          <w:sz w:val="20"/>
          <w:szCs w:val="20"/>
          <w:color w:val="auto"/>
        </w:rPr>
      </w:pPr>
      <w:r>
        <w:rPr>
          <w:rFonts w:ascii="Arial" w:cs="Arial" w:eastAsia="Arial" w:hAnsi="Arial"/>
          <w:sz w:val="19"/>
          <w:szCs w:val="19"/>
          <w:color w:val="auto"/>
        </w:rPr>
        <w:t>Management will conduct a conference call at 5:00pm ET today. The conference call will be broadcast live over the Internet. Individuals interested in listening to the webcast can log on to the Company's website at www.lemaitre.com/investor. The conference call may also be accessed by dialing 844-239-5284 (+1 512-961-6497 for international callers), using passcode 1899078. For individuals unable to join the live conference call, a replay will be available on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GAAP to non-GAAP results is included in the tables attached to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LeMaitre</w:t>
      </w:r>
    </w:p>
    <w:p>
      <w:pPr>
        <w:spacing w:after="0" w:line="249" w:lineRule="exact"/>
        <w:rPr>
          <w:sz w:val="20"/>
          <w:szCs w:val="20"/>
          <w:color w:val="auto"/>
        </w:rPr>
      </w:pPr>
    </w:p>
    <w:p>
      <w:pPr>
        <w:ind w:right="200"/>
        <w:spacing w:after="0" w:line="257" w:lineRule="auto"/>
        <w:rPr>
          <w:sz w:val="20"/>
          <w:szCs w:val="20"/>
          <w:color w:val="auto"/>
        </w:rPr>
      </w:pPr>
      <w:r>
        <w:rPr>
          <w:rFonts w:ascii="Arial" w:cs="Arial" w:eastAsia="Arial" w:hAnsi="Arial"/>
          <w:sz w:val="21"/>
          <w:szCs w:val="21"/>
          <w:color w:val="auto"/>
        </w:rPr>
        <w:t>LeMaitre is a provider of devices, implants and services for the treatment of peripheral vascular disease, a condition that affects more than 200 million people worldwide. The Company develops, manufactures and markets disposable and implantable vascular devices to address the needs of its core customer, the vascular surgeon.</w:t>
      </w:r>
    </w:p>
    <w:p>
      <w:pPr>
        <w:spacing w:after="0" w:line="19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LeMaitre is a registered trademark of LeMaitre Vascular, Inc. This press release may include other trademarks and trade names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about the Company, please visit http://www.lemaitre.com.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Non-GAAP Financial Measures</w:t>
      </w:r>
    </w:p>
    <w:p>
      <w:pPr>
        <w:spacing w:after="0" w:line="239"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LeMaitre Vascular management believes that in order to better understand the Company's short-term and long-term financial trends, investors may wish to consider certain non-GAAP financial measures as a supplement to financial performance measures prepared in accordance with GAAP. Non-GAAP financial measures are not based on a comprehensive set of accounting rules or principles and do not have standardized meanings. These non-GAAP measures result from facts and circumstances that may vary in frequency and/or impact on continuing operations. Non-GAAP measures should be considered in addition to, and not as a substitute for, financial performance measures in accordance with GAAP. In addition to the description provided below, reconciliation of GAAP to non-GAAP results is provided in the financial statement tables included in this press release.</w:t>
      </w:r>
    </w:p>
    <w:p>
      <w:pPr>
        <w:spacing w:after="0" w:line="179"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In this press release, the Company has reported non-GAAP sales growth percentages after adjusting for the impact of foreign currency exchange, business development transactions, and/or other events as well as EBITDA or earnings before interest, taxes, depreciation and amortization. The Company refers to the calculation of non-GAAP sales growth percentages as "organic." The Company analyzes non-GAAP sales on a constant currency basis, net of acquisitions and other non-recurring events, and EBITDA to better measure the comparability of results between periods. Because changes in foreign currency exchange rates have a non-operating impact on net sales, and acquisitions, divestitures, product discontinuations, and other strategic transactions are episodic in nature and are highly variable to the reported sales results, the Company believes that evaluating growth in sales on a constant currency basis net of such transactions provides an additional and meaningful assessment of sales to management. The Company believes that evaluating EBITDA provides an approximation of the cash generating ability of its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Company's current financial results, as discussed in this release, are preliminary and unaudited, and subject to adjustment. This press release contains forward-looking statements within the meaning of the U.S. Private Securities Litigation Reform Act of 1995. Statements in this press release regarding the Company's business that are not historical facts may be "forward-looking statements" that involve risks and uncertainties. Forward-looking statements are based on management's current, preliminary expectations and are subject to risks and uncertainties that could cause actual results to differ from the results expected, including, but not limited to, the status of our global regulatory approvals and compliance with foreign regulatory requirements to market and sell our products outside the United States; the duration and severity of the impact of COVID-19 on the global economy, our customers, our suppliers and our company; the risk of significant fluctuations in our quarterly and annual results due to numerous factors; the risk that assumptions about the market for the Company’s products and the productivity of the Company’s direct sales force and distributors may not be correct; the risk that we may not be able to maintain our recent levels of profitability; the risk that the Company may not realize the anticipated benefits of its strategic activities; risks related to the integration of acquisition targets; the acceleration or deceleration of product growth rates; risks related to product demand and market acceptance of the Company’s products and pricing; the risk that a recall of our products could result in significant costs or negative publicity; the risk that the Company is not successful in transitioning to a direct-selling model in new territories and other risks and uncertainties included under the heading "Risk Factors" in our most recent Annual Report on Form 10-K, as updated by our subsequent filings with the SEC, which are all available on the Company's investor relations website</w:t>
      </w:r>
    </w:p>
    <w:p>
      <w:pPr>
        <w:spacing w:after="0" w:line="2"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at http://www.lemaitre.com and on the SEC's website at http://www.sec.gov. Undue reliance should not be placed on forward-looking statements, which speak only as of the date they are made. The Company undertakes no obligation to update publicly any forward-looking statements to reflect new information, events, or circumstances after the date they were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LEMAITRE VASCULAR, INC. (NASDAQ: LMAT)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June 30, 2021</w:t>
            </w:r>
          </w:p>
        </w:tc>
        <w:tc>
          <w:tcPr>
            <w:tcW w:w="8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December 31, 2020</w:t>
            </w:r>
          </w:p>
        </w:tc>
      </w:tr>
      <w:tr>
        <w:trPr>
          <w:trHeight w:val="209"/>
        </w:trPr>
        <w:tc>
          <w:tcPr>
            <w:tcW w:w="5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21,541</w:t>
            </w:r>
          </w:p>
        </w:tc>
        <w:tc>
          <w:tcPr>
            <w:tcW w:w="6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26,764</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marketable securities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20,741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19,552</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and other deferred costs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44,751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45,115</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2,772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2,618</w:t>
            </w:r>
          </w:p>
        </w:tc>
      </w:tr>
      <w:tr>
        <w:trPr>
          <w:trHeight w:val="20"/>
        </w:trPr>
        <w:tc>
          <w:tcPr>
            <w:tcW w:w="5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90,020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94,263</w:t>
            </w:r>
          </w:p>
        </w:tc>
      </w:tr>
      <w:tr>
        <w:trPr>
          <w:trHeight w:val="216"/>
        </w:trPr>
        <w:tc>
          <w:tcPr>
            <w:tcW w:w="5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15,794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Right-of-use leased assets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16,244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16,066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65,945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65,945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intangibles, net</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55,777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58,905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assets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909</w:t>
            </w:r>
          </w:p>
        </w:tc>
      </w:tr>
      <w:tr>
        <w:trPr>
          <w:trHeight w:val="209"/>
        </w:trPr>
        <w:tc>
          <w:tcPr>
            <w:tcW w:w="55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assets</w:t>
            </w: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246,505</w:t>
            </w:r>
          </w:p>
        </w:tc>
        <w:tc>
          <w:tcPr>
            <w:tcW w:w="6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252,810</w:t>
            </w:r>
          </w:p>
        </w:tc>
      </w:tr>
      <w:tr>
        <w:trPr>
          <w:trHeight w:val="20"/>
        </w:trPr>
        <w:tc>
          <w:tcPr>
            <w:tcW w:w="5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5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6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2,394</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13,766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17,525</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obligations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Lease liabilities - short-term</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1,954</w:t>
            </w:r>
          </w:p>
        </w:tc>
      </w:tr>
      <w:tr>
        <w:trPr>
          <w:trHeight w:val="20"/>
        </w:trPr>
        <w:tc>
          <w:tcPr>
            <w:tcW w:w="5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21,480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25,145</w:t>
            </w:r>
          </w:p>
        </w:tc>
      </w:tr>
      <w:tr>
        <w:trPr>
          <w:trHeight w:val="216"/>
        </w:trPr>
        <w:tc>
          <w:tcPr>
            <w:tcW w:w="5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35,532</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Lease liabilities - long-term</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15,069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14,791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4,550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4,643</w:t>
            </w:r>
          </w:p>
        </w:tc>
      </w:tr>
      <w:tr>
        <w:trPr>
          <w:trHeight w:val="20"/>
        </w:trPr>
        <w:tc>
          <w:tcPr>
            <w:tcW w:w="5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60,672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80,238</w:t>
            </w:r>
          </w:p>
        </w:tc>
      </w:tr>
      <w:tr>
        <w:trPr>
          <w:trHeight w:val="216"/>
        </w:trPr>
        <w:tc>
          <w:tcPr>
            <w:tcW w:w="5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119,291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114,924</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80,253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70,554</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(1,525)</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(11,690)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(11,602)</w:t>
            </w:r>
          </w:p>
        </w:tc>
      </w:tr>
      <w:tr>
        <w:trPr>
          <w:trHeight w:val="20"/>
        </w:trPr>
        <w:tc>
          <w:tcPr>
            <w:tcW w:w="5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185,833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172,572</w:t>
            </w:r>
          </w:p>
        </w:tc>
      </w:tr>
      <w:tr>
        <w:trPr>
          <w:trHeight w:val="210"/>
        </w:trPr>
        <w:tc>
          <w:tcPr>
            <w:tcW w:w="550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5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246,505</w:t>
            </w:r>
          </w:p>
        </w:tc>
        <w:tc>
          <w:tcPr>
            <w:tcW w:w="6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252,810</w:t>
            </w:r>
          </w:p>
        </w:tc>
      </w:tr>
      <w:tr>
        <w:trPr>
          <w:trHeight w:val="554"/>
        </w:trPr>
        <w:tc>
          <w:tcPr>
            <w:tcW w:w="5500" w:type="dxa"/>
            <w:vAlign w:val="bottom"/>
            <w:tcBorders>
              <w:top w:val="single" w:sz="8" w:color="CCEEFF"/>
              <w:bottom w:val="single" w:sz="8" w:color="auto"/>
            </w:tcBorders>
          </w:tcPr>
          <w:p>
            <w:pPr>
              <w:spacing w:after="0"/>
              <w:rPr>
                <w:sz w:val="24"/>
                <w:szCs w:val="24"/>
                <w:color w:val="auto"/>
              </w:rPr>
            </w:pPr>
          </w:p>
        </w:tc>
        <w:tc>
          <w:tcPr>
            <w:tcW w:w="23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LEMAITRE VASCULAR, INC. (NASDAQ: LMAT)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0"/>
              </w:rPr>
              <w:t>For the 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2"/>
              </w:rPr>
              <w:t>For the six months ended</w:t>
            </w:r>
          </w:p>
        </w:tc>
      </w:tr>
      <w:tr>
        <w:trPr>
          <w:trHeight w:val="209"/>
        </w:trPr>
        <w:tc>
          <w:tcPr>
            <w:tcW w:w="5820" w:type="dxa"/>
            <w:vAlign w:val="bottom"/>
          </w:tcPr>
          <w:p>
            <w:pPr>
              <w:spacing w:after="0"/>
              <w:rPr>
                <w:sz w:val="18"/>
                <w:szCs w:val="18"/>
                <w:color w:val="auto"/>
              </w:rPr>
            </w:pPr>
          </w:p>
        </w:tc>
        <w:tc>
          <w:tcPr>
            <w:tcW w:w="136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2"/>
              </w:rPr>
              <w:t>June 30, 2021</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2"/>
              </w:rPr>
              <w:t>June 30, 2021</w:t>
            </w: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2020</w:t>
            </w:r>
          </w:p>
        </w:tc>
        <w:tc>
          <w:tcPr>
            <w:tcW w:w="120" w:type="dxa"/>
            <w:vAlign w:val="bottom"/>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24,851</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76,553</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55,402</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13,909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7,822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25,993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17,890</w:t>
            </w:r>
          </w:p>
        </w:tc>
      </w:tr>
      <w:tr>
        <w:trPr>
          <w:trHeight w:val="209"/>
        </w:trPr>
        <w:tc>
          <w:tcPr>
            <w:tcW w:w="5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26,761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17,029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50,560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37,512</w:t>
            </w:r>
          </w:p>
        </w:tc>
      </w:tr>
      <w:tr>
        <w:trPr>
          <w:trHeight w:val="216"/>
        </w:trPr>
        <w:tc>
          <w:tcPr>
            <w:tcW w:w="5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12,631</w:t>
            </w: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12,744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10,523</w:t>
            </w:r>
          </w:p>
        </w:tc>
      </w:tr>
      <w:tr>
        <w:trPr>
          <w:trHeight w:val="216"/>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15,655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12,157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31,509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28,287</w:t>
            </w:r>
          </w:p>
        </w:tc>
      </w:tr>
      <w:tr>
        <w:trPr>
          <w:trHeight w:val="209"/>
        </w:trPr>
        <w:tc>
          <w:tcPr>
            <w:tcW w:w="5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19,051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9,225</w:t>
            </w:r>
          </w:p>
        </w:tc>
      </w:tr>
      <w:tr>
        <w:trPr>
          <w:trHeight w:val="216"/>
        </w:trPr>
        <w:tc>
          <w:tcPr>
            <w:tcW w:w="5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3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gain (loss)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r>
      <w:tr>
        <w:trPr>
          <w:trHeight w:val="210"/>
        </w:trPr>
        <w:tc>
          <w:tcPr>
            <w:tcW w:w="58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9,047</w:t>
            </w: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2,373</w:t>
            </w:r>
          </w:p>
        </w:tc>
      </w:tr>
      <w:tr>
        <w:trPr>
          <w:trHeight w:val="210"/>
        </w:trPr>
        <w:tc>
          <w:tcPr>
            <w:tcW w:w="58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5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14,228</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6,674</w:t>
            </w:r>
          </w:p>
        </w:tc>
      </w:tr>
      <w:tr>
        <w:trPr>
          <w:trHeight w:val="197"/>
        </w:trPr>
        <w:tc>
          <w:tcPr>
            <w:tcW w:w="58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8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0.33</w:t>
            </w:r>
          </w:p>
        </w:tc>
      </w:tr>
      <w:tr>
        <w:trPr>
          <w:trHeight w:val="197"/>
        </w:trPr>
        <w:tc>
          <w:tcPr>
            <w:tcW w:w="58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 average shares outstanding:</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20,611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20,180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20,579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20,174</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8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20,959</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20,399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20,900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20,415</w:t>
            </w:r>
          </w:p>
        </w:tc>
      </w:tr>
      <w:tr>
        <w:trPr>
          <w:trHeight w:val="196"/>
        </w:trPr>
        <w:tc>
          <w:tcPr>
            <w:tcW w:w="58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0.110</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0.095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0.220</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0.190</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5"/>
        </w:trPr>
        <w:tc>
          <w:tcPr>
            <w:tcW w:w="5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LEMAITRE VASCULAR, INC. (NASDAQ: LMAT)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NET SALES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95"/>
              </w:rPr>
              <w:t>For the three months ended</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For the six months ended</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June 30, 2021</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June 30, 2020</w:t>
            </w:r>
          </w:p>
        </w:tc>
        <w:tc>
          <w:tcPr>
            <w:tcW w:w="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June 30, 2021</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18"/>
                <w:szCs w:val="18"/>
                <w:color w:val="auto"/>
              </w:rPr>
            </w:pPr>
          </w:p>
        </w:tc>
      </w:tr>
      <w:tr>
        <w:trPr>
          <w:trHeight w:val="209"/>
        </w:trPr>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189"/>
        </w:trPr>
        <w:tc>
          <w:tcPr>
            <w:tcW w:w="18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Net Sales by Geography</w:t>
            </w:r>
          </w:p>
        </w:tc>
        <w:tc>
          <w:tcPr>
            <w:tcW w:w="3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r>
      <w:tr>
        <w:trPr>
          <w:trHeight w:val="216"/>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27,329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14,942</w:t>
            </w:r>
          </w:p>
        </w:tc>
        <w:tc>
          <w:tcPr>
            <w:tcW w:w="5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51,028</w:t>
            </w:r>
          </w:p>
        </w:tc>
        <w:tc>
          <w:tcPr>
            <w:tcW w:w="5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33,278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02"/>
        </w:trPr>
        <w:tc>
          <w:tcPr>
            <w:tcW w:w="22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Europe/Middle</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East/Africa</w:t>
            </w: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10,803</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7,950</w:t>
            </w:r>
          </w:p>
        </w:tc>
        <w:tc>
          <w:tcPr>
            <w:tcW w:w="5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20,665</w:t>
            </w:r>
          </w:p>
        </w:tc>
        <w:tc>
          <w:tcPr>
            <w:tcW w:w="5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18,300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Asia/Pacific Rim</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1,959</w:t>
            </w:r>
          </w:p>
        </w:tc>
        <w:tc>
          <w:tcPr>
            <w:tcW w:w="5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4,860</w:t>
            </w:r>
          </w:p>
        </w:tc>
        <w:tc>
          <w:tcPr>
            <w:tcW w:w="5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3,824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24,851</w:t>
            </w:r>
          </w:p>
        </w:tc>
        <w:tc>
          <w:tcPr>
            <w:tcW w:w="5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76,553</w:t>
            </w:r>
          </w:p>
        </w:tc>
        <w:tc>
          <w:tcPr>
            <w:tcW w:w="5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55,402</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LEMAITRE VASCULAR, INC. (NASDAQ: LMAT)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between GAAP and Non-GAAP sales growth:</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For the three months ended June 30, 2021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sales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Impact of currency exchange rate fluctuations</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impact of acquisitions excluding currency</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562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Adjusted net sales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33,502</w:t>
            </w: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6"/>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For the three months ended June 30, 2020</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sales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20" w:type="dxa"/>
            <w:vAlign w:val="bottom"/>
          </w:tcPr>
          <w:p>
            <w:pPr>
              <w:ind w:left="500"/>
              <w:spacing w:after="0"/>
              <w:rPr>
                <w:sz w:val="20"/>
                <w:szCs w:val="20"/>
                <w:color w:val="auto"/>
              </w:rPr>
            </w:pPr>
            <w:r>
              <w:rPr>
                <w:rFonts w:ascii="Arial" w:cs="Arial" w:eastAsia="Arial" w:hAnsi="Arial"/>
                <w:sz w:val="18"/>
                <w:szCs w:val="18"/>
                <w:color w:val="auto"/>
              </w:rPr>
              <w:t>Adjusted net sales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24,851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w w:val="93"/>
              </w:rPr>
              <w:t>Adjusted net sales increase for the three months ended June 30, 2021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8,651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between GAAP and non-GAAP debt outstanding:</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As of June 30, 2021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Add back unamortized deferred financing costs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debt outstanding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629"/>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0"/>
              </w:rPr>
              <w:t>For the three months ended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4"/>
              </w:rPr>
              <w:t>For the six months ended</w:t>
            </w:r>
          </w:p>
        </w:tc>
      </w:tr>
      <w:tr>
        <w:trPr>
          <w:trHeight w:val="209"/>
        </w:trPr>
        <w:tc>
          <w:tcPr>
            <w:tcW w:w="5620" w:type="dxa"/>
            <w:vAlign w:val="bottom"/>
          </w:tcPr>
          <w:p>
            <w:pPr>
              <w:spacing w:after="0"/>
              <w:rPr>
                <w:sz w:val="18"/>
                <w:szCs w:val="18"/>
                <w:color w:val="auto"/>
              </w:rPr>
            </w:pPr>
          </w:p>
        </w:tc>
        <w:tc>
          <w:tcPr>
            <w:tcW w:w="128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2"/>
              </w:rPr>
              <w:t>June 30, 2021</w:t>
            </w: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2"/>
              </w:rPr>
              <w:t>June 30, 2021</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2020</w:t>
            </w:r>
          </w:p>
        </w:tc>
        <w:tc>
          <w:tcPr>
            <w:tcW w:w="180" w:type="dxa"/>
            <w:vAlign w:val="bottom"/>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between GAAP and Non-GAAP EBITDA</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income as reported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8,299</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3,500</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14,228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6,674</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Amortization and depreciation expense</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1,639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4,777</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3,177</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2,373</w:t>
            </w:r>
          </w:p>
        </w:tc>
      </w:tr>
      <w:tr>
        <w:trPr>
          <w:trHeight w:val="210"/>
        </w:trPr>
        <w:tc>
          <w:tcPr>
            <w:tcW w:w="5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5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13,338</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6,398</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23,795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12,111</w:t>
            </w:r>
          </w:p>
        </w:tc>
      </w:tr>
      <w:tr>
        <w:trPr>
          <w:trHeight w:val="197"/>
        </w:trPr>
        <w:tc>
          <w:tcPr>
            <w:tcW w:w="56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23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percentage increase</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2021-07-29T16:24:01Z</dcterms:created>
  <dcterms:modified xsi:type="dcterms:W3CDTF">2021-07-29T16:24:01Z</dcterms:modified>
</cp:coreProperties>
</file>